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E718D" w14:textId="77777777" w:rsidR="004A6D6C" w:rsidRPr="0012269C" w:rsidRDefault="004A6D6C" w:rsidP="00AB732B">
      <w:pPr>
        <w:spacing w:after="0"/>
        <w:jc w:val="center"/>
        <w:rPr>
          <w:rFonts w:asciiTheme="majorBidi" w:hAnsiTheme="majorBidi" w:cstheme="majorBidi"/>
          <w:b/>
          <w:bCs/>
          <w:sz w:val="28"/>
          <w:szCs w:val="28"/>
          <w:lang w:val="en-US"/>
        </w:rPr>
      </w:pPr>
      <w:bookmarkStart w:id="0" w:name="_Hlk201956351"/>
      <w:bookmarkStart w:id="1" w:name="_Hlk46721501"/>
      <w:bookmarkStart w:id="2" w:name="_Hlk45756495"/>
      <w:r w:rsidRPr="0012269C">
        <w:rPr>
          <w:rFonts w:ascii="Times New Roman" w:hAnsi="Times New Roman" w:cs="Calibri"/>
          <w:b/>
          <w:bCs/>
          <w:sz w:val="36"/>
          <w:szCs w:val="36"/>
          <w:lang w:val="en-ID" w:eastAsia="en-ID"/>
        </w:rPr>
        <w:t>Cytokine Storm and Its Role in the Severity of Respiratory Viral Diseases</w:t>
      </w:r>
      <w:r w:rsidRPr="0012269C">
        <w:rPr>
          <w:rFonts w:asciiTheme="majorBidi" w:hAnsiTheme="majorBidi" w:cstheme="majorBidi"/>
          <w:b/>
          <w:bCs/>
          <w:sz w:val="28"/>
          <w:szCs w:val="28"/>
          <w:lang w:val="en-US"/>
        </w:rPr>
        <w:t xml:space="preserve"> </w:t>
      </w:r>
    </w:p>
    <w:bookmarkEnd w:id="0"/>
    <w:p w14:paraId="74C15148" w14:textId="77777777" w:rsidR="004A6D6C" w:rsidRPr="00C84185" w:rsidRDefault="004A6D6C" w:rsidP="00AB732B">
      <w:pPr>
        <w:spacing w:after="0"/>
        <w:jc w:val="center"/>
        <w:rPr>
          <w:rFonts w:ascii="Times New Roman" w:hAnsi="Times New Roman" w:cs="Times New Roman"/>
          <w:b/>
          <w:bCs/>
          <w:sz w:val="28"/>
          <w:szCs w:val="28"/>
          <w:vertAlign w:val="superscript"/>
        </w:rPr>
      </w:pPr>
      <w:r w:rsidRPr="00C84185">
        <w:rPr>
          <w:rFonts w:ascii="Times New Roman" w:hAnsi="Times New Roman" w:cs="Times New Roman"/>
          <w:b/>
          <w:bCs/>
          <w:sz w:val="28"/>
          <w:szCs w:val="28"/>
        </w:rPr>
        <w:t>Zainab Mohammed Madfoon</w:t>
      </w:r>
    </w:p>
    <w:p w14:paraId="37583290" w14:textId="77777777" w:rsidR="004A6D6C" w:rsidRPr="00C84185" w:rsidRDefault="004A6D6C" w:rsidP="00AB732B">
      <w:pPr>
        <w:spacing w:after="0"/>
        <w:jc w:val="center"/>
        <w:rPr>
          <w:rFonts w:ascii="Times New Roman" w:hAnsi="Times New Roman" w:cs="Times New Roman"/>
          <w:i/>
          <w:iCs/>
          <w:color w:val="1F1F1F"/>
          <w:sz w:val="24"/>
          <w:szCs w:val="24"/>
          <w:shd w:val="clear" w:color="auto" w:fill="E9EEF6"/>
        </w:rPr>
      </w:pPr>
      <w:r w:rsidRPr="00C84185">
        <w:rPr>
          <w:rFonts w:ascii="Times New Roman" w:hAnsi="Times New Roman" w:cs="Times New Roman"/>
          <w:i/>
          <w:iCs/>
          <w:sz w:val="24"/>
          <w:szCs w:val="24"/>
        </w:rPr>
        <w:t>College of Science, University of Kufa, Iraq.</w:t>
      </w:r>
    </w:p>
    <w:p w14:paraId="4D989E72" w14:textId="77777777" w:rsidR="004A6D6C" w:rsidRDefault="004A6D6C" w:rsidP="00AB732B">
      <w:pPr>
        <w:spacing w:after="0"/>
        <w:jc w:val="center"/>
        <w:rPr>
          <w:rStyle w:val="Hyperlink"/>
          <w:rFonts w:asciiTheme="majorBidi" w:eastAsia="Times New Roman" w:hAnsiTheme="majorBidi" w:cstheme="majorBidi"/>
          <w:lang w:bidi="ar-IQ"/>
        </w:rPr>
      </w:pPr>
      <w:r w:rsidRPr="00C84185">
        <w:rPr>
          <w:rFonts w:asciiTheme="majorBidi" w:hAnsiTheme="majorBidi" w:cstheme="majorBidi"/>
          <w:b/>
          <w:bCs/>
          <w:lang w:val="en-ID" w:eastAsia="en-ID"/>
        </w:rPr>
        <w:t xml:space="preserve">Email: </w:t>
      </w:r>
      <w:hyperlink r:id="rId8" w:history="1">
        <w:r w:rsidRPr="00C84185">
          <w:rPr>
            <w:rStyle w:val="Hyperlink"/>
            <w:rFonts w:asciiTheme="majorBidi" w:eastAsia="Times New Roman" w:hAnsiTheme="majorBidi" w:cstheme="majorBidi"/>
            <w:lang w:bidi="ar-IQ"/>
          </w:rPr>
          <w:t>zainabm.algeubori@uokufa.edu.iq</w:t>
        </w:r>
      </w:hyperlink>
    </w:p>
    <w:p w14:paraId="730356F9" w14:textId="77777777" w:rsidR="004A6D6C" w:rsidRDefault="004A6D6C" w:rsidP="00AB732B">
      <w:pPr>
        <w:spacing w:after="0"/>
        <w:jc w:val="center"/>
        <w:rPr>
          <w:rFonts w:asciiTheme="majorBidi" w:hAnsiTheme="majorBidi" w:cstheme="majorBidi"/>
          <w:i/>
          <w:iCs/>
          <w:color w:val="1F1F1F"/>
          <w:shd w:val="clear" w:color="auto" w:fill="E9EEF6"/>
        </w:rPr>
      </w:pPr>
    </w:p>
    <w:p w14:paraId="622C8D4F" w14:textId="77777777" w:rsidR="004A6D6C" w:rsidRPr="000463CA" w:rsidRDefault="004A6D6C" w:rsidP="00AB732B">
      <w:pPr>
        <w:pBdr>
          <w:top w:val="double" w:sz="4" w:space="1" w:color="auto"/>
          <w:bottom w:val="double" w:sz="4" w:space="1" w:color="auto"/>
        </w:pBdr>
        <w:shd w:val="clear" w:color="auto" w:fill="F2F2F2" w:themeFill="background1" w:themeFillShade="F2"/>
        <w:spacing w:after="0"/>
        <w:jc w:val="center"/>
        <w:rPr>
          <w:rFonts w:asciiTheme="majorBidi" w:hAnsiTheme="majorBidi" w:cstheme="majorBidi"/>
          <w:b/>
          <w:bCs/>
          <w:i/>
          <w:iCs/>
          <w:color w:val="000000" w:themeColor="text1"/>
          <w:sz w:val="24"/>
          <w:szCs w:val="24"/>
        </w:rPr>
      </w:pPr>
      <w:r w:rsidRPr="000463CA">
        <w:rPr>
          <w:rFonts w:asciiTheme="majorBidi" w:hAnsiTheme="majorBidi" w:cstheme="majorBidi"/>
          <w:b/>
          <w:bCs/>
          <w:color w:val="000000" w:themeColor="text1"/>
          <w:sz w:val="24"/>
          <w:szCs w:val="24"/>
        </w:rPr>
        <w:t>ABSTRACT</w:t>
      </w:r>
    </w:p>
    <w:p w14:paraId="6235FD78" w14:textId="4CF83EF3" w:rsidR="004A6D6C" w:rsidRDefault="004A6D6C" w:rsidP="00AB732B">
      <w:pPr>
        <w:pBdr>
          <w:top w:val="double" w:sz="4" w:space="1" w:color="auto"/>
          <w:bottom w:val="double" w:sz="4" w:space="1" w:color="auto"/>
        </w:pBdr>
        <w:shd w:val="clear" w:color="auto" w:fill="F2F2F2" w:themeFill="background1" w:themeFillShade="F2"/>
        <w:spacing w:after="0"/>
        <w:jc w:val="both"/>
        <w:rPr>
          <w:rFonts w:asciiTheme="majorBidi" w:hAnsiTheme="majorBidi" w:cstheme="majorBidi"/>
          <w:color w:val="000000" w:themeColor="text1"/>
          <w:sz w:val="24"/>
          <w:szCs w:val="24"/>
        </w:rPr>
      </w:pPr>
      <w:r w:rsidRPr="000463CA">
        <w:rPr>
          <w:rFonts w:asciiTheme="majorBidi" w:hAnsiTheme="majorBidi" w:cstheme="majorBidi"/>
          <w:b/>
          <w:bCs/>
          <w:i/>
          <w:iCs/>
          <w:color w:val="000000" w:themeColor="text1"/>
          <w:sz w:val="24"/>
          <w:szCs w:val="24"/>
        </w:rPr>
        <w:t>Background:</w:t>
      </w:r>
      <w:r w:rsidRPr="000463CA">
        <w:rPr>
          <w:rFonts w:asciiTheme="majorBidi" w:hAnsiTheme="majorBidi" w:cstheme="majorBidi"/>
          <w:i/>
          <w:iCs/>
          <w:color w:val="000000" w:themeColor="text1"/>
          <w:sz w:val="24"/>
          <w:szCs w:val="24"/>
        </w:rPr>
        <w:t xml:space="preserve"> Cytokine storms, indicating an exaggerated immune response, are key to the virulence of respiratory viral infection. Our study contrasts cytokine storm profiles in Para influenza, influenza, and rhinovirus infection and investigates the impact of age and gender. </w:t>
      </w:r>
      <w:r w:rsidRPr="000463CA">
        <w:rPr>
          <w:rFonts w:asciiTheme="majorBidi" w:hAnsiTheme="majorBidi" w:cstheme="majorBidi"/>
          <w:b/>
          <w:bCs/>
          <w:i/>
          <w:iCs/>
          <w:color w:val="000000" w:themeColor="text1"/>
          <w:sz w:val="24"/>
          <w:szCs w:val="24"/>
        </w:rPr>
        <w:t>Methods:</w:t>
      </w:r>
      <w:r w:rsidRPr="000463CA">
        <w:rPr>
          <w:rFonts w:asciiTheme="majorBidi" w:hAnsiTheme="majorBidi" w:cstheme="majorBidi"/>
          <w:i/>
          <w:iCs/>
          <w:color w:val="000000" w:themeColor="text1"/>
          <w:sz w:val="24"/>
          <w:szCs w:val="24"/>
        </w:rPr>
        <w:t xml:space="preserve"> 350 samples were collected, of which 300 were patient samples and 50 were control samples. They were diagnosed through VIDS technology to detect viruses, and ELISA was used for the </w:t>
      </w:r>
      <w:r w:rsidR="000A48AF">
        <w:rPr>
          <w:rFonts w:asciiTheme="majorBidi" w:hAnsiTheme="majorBidi" w:cstheme="majorBidi"/>
          <w:i/>
          <w:iCs/>
          <w:color w:val="000000" w:themeColor="text1"/>
          <w:sz w:val="24"/>
          <w:szCs w:val="24"/>
        </w:rPr>
        <w:t>quantification</w:t>
      </w:r>
      <w:r w:rsidRPr="000463CA">
        <w:rPr>
          <w:rFonts w:asciiTheme="majorBidi" w:hAnsiTheme="majorBidi" w:cstheme="majorBidi"/>
          <w:i/>
          <w:iCs/>
          <w:color w:val="000000" w:themeColor="text1"/>
          <w:sz w:val="24"/>
          <w:szCs w:val="24"/>
        </w:rPr>
        <w:t xml:space="preserve"> of </w:t>
      </w:r>
      <w:r w:rsidRPr="00495601">
        <w:rPr>
          <w:rFonts w:asciiTheme="majorBidi" w:hAnsiTheme="majorBidi" w:cstheme="majorBidi"/>
          <w:i/>
          <w:iCs/>
          <w:color w:val="000000" w:themeColor="text1"/>
          <w:sz w:val="24"/>
          <w:szCs w:val="24"/>
        </w:rPr>
        <w:t>cytokines (IL-6, TNF-α, IL-1β).</w:t>
      </w:r>
      <w:r w:rsidRPr="000463CA">
        <w:rPr>
          <w:rFonts w:asciiTheme="majorBidi" w:hAnsiTheme="majorBidi" w:cstheme="majorBidi"/>
          <w:i/>
          <w:iCs/>
          <w:color w:val="000000" w:themeColor="text1"/>
          <w:sz w:val="24"/>
          <w:szCs w:val="24"/>
        </w:rPr>
        <w:t xml:space="preserve"> Statistical tests utilized were t-tests and analysis of variance (ANOVA) in order to compare group differences. </w:t>
      </w:r>
      <w:r w:rsidRPr="000463CA">
        <w:rPr>
          <w:rFonts w:asciiTheme="majorBidi" w:hAnsiTheme="majorBidi" w:cstheme="majorBidi"/>
          <w:b/>
          <w:bCs/>
          <w:i/>
          <w:iCs/>
          <w:color w:val="000000" w:themeColor="text1"/>
          <w:sz w:val="24"/>
          <w:szCs w:val="24"/>
        </w:rPr>
        <w:t>Results:</w:t>
      </w:r>
      <w:r w:rsidRPr="000463CA">
        <w:rPr>
          <w:rFonts w:asciiTheme="majorBidi" w:hAnsiTheme="majorBidi" w:cstheme="majorBidi"/>
          <w:i/>
          <w:iCs/>
          <w:color w:val="000000" w:themeColor="text1"/>
          <w:sz w:val="24"/>
          <w:szCs w:val="24"/>
        </w:rPr>
        <w:t xml:space="preserve"> The results indicated that influenza virus induces higher cytokine levels among elderly individuals (over 65 years of age), followed by </w:t>
      </w:r>
      <w:r w:rsidR="000A48AF">
        <w:rPr>
          <w:rFonts w:asciiTheme="majorBidi" w:hAnsiTheme="majorBidi" w:cstheme="majorBidi"/>
          <w:i/>
          <w:iCs/>
          <w:color w:val="000000" w:themeColor="text1"/>
          <w:sz w:val="24"/>
          <w:szCs w:val="24"/>
        </w:rPr>
        <w:t>parainfluenza</w:t>
      </w:r>
      <w:r w:rsidRPr="000463CA">
        <w:rPr>
          <w:rFonts w:asciiTheme="majorBidi" w:hAnsiTheme="majorBidi" w:cstheme="majorBidi"/>
          <w:i/>
          <w:iCs/>
          <w:color w:val="000000" w:themeColor="text1"/>
          <w:sz w:val="24"/>
          <w:szCs w:val="24"/>
        </w:rPr>
        <w:t xml:space="preserve"> and rhinovirus. Females exhibited a stronger immune response, which is due to hormonal and genetic causes. Sex and age significantly affect the intensity of the cytokine storm because immune aging and the inflammatory response of elderly individuals lead to an overreaction of the immune system. </w:t>
      </w:r>
      <w:r w:rsidRPr="000463CA">
        <w:rPr>
          <w:rFonts w:asciiTheme="majorBidi" w:hAnsiTheme="majorBidi" w:cstheme="majorBidi"/>
          <w:b/>
          <w:bCs/>
          <w:i/>
          <w:iCs/>
          <w:color w:val="000000" w:themeColor="text1"/>
          <w:sz w:val="24"/>
          <w:szCs w:val="24"/>
        </w:rPr>
        <w:t>Conclusion:</w:t>
      </w:r>
      <w:r w:rsidRPr="000463CA">
        <w:rPr>
          <w:rFonts w:asciiTheme="majorBidi" w:hAnsiTheme="majorBidi" w:cstheme="majorBidi"/>
          <w:i/>
          <w:iCs/>
          <w:color w:val="000000" w:themeColor="text1"/>
          <w:sz w:val="24"/>
          <w:szCs w:val="24"/>
        </w:rPr>
        <w:t xml:space="preserve"> Our conclusions offer several trends of cytokine storms in respiratory viruses, with influenza being the most lethal. Age and gender are also significant demographic predictors, providing valuable insights for targeted treatment</w:t>
      </w:r>
      <w:r w:rsidRPr="000463CA">
        <w:rPr>
          <w:rFonts w:asciiTheme="majorBidi" w:hAnsiTheme="majorBidi" w:cstheme="majorBidi"/>
          <w:color w:val="000000" w:themeColor="text1"/>
          <w:sz w:val="24"/>
          <w:szCs w:val="24"/>
        </w:rPr>
        <w:t>.</w:t>
      </w:r>
    </w:p>
    <w:p w14:paraId="4C49C267" w14:textId="42E18B0A" w:rsidR="004A6D6C" w:rsidRPr="000463CA" w:rsidRDefault="004A6D6C" w:rsidP="00AB732B">
      <w:pPr>
        <w:pBdr>
          <w:top w:val="double" w:sz="4" w:space="1" w:color="auto"/>
          <w:bottom w:val="double" w:sz="4" w:space="1" w:color="auto"/>
        </w:pBdr>
        <w:shd w:val="clear" w:color="auto" w:fill="F2F2F2" w:themeFill="background1" w:themeFillShade="F2"/>
        <w:spacing w:after="0"/>
        <w:jc w:val="both"/>
        <w:rPr>
          <w:rFonts w:asciiTheme="majorBidi" w:hAnsiTheme="majorBidi" w:cstheme="majorBidi"/>
          <w:b/>
          <w:bCs/>
          <w:color w:val="000000" w:themeColor="text1"/>
          <w:sz w:val="24"/>
          <w:szCs w:val="24"/>
        </w:rPr>
      </w:pPr>
      <w:r w:rsidRPr="000463CA">
        <w:rPr>
          <w:rFonts w:asciiTheme="majorBidi" w:hAnsiTheme="majorBidi" w:cstheme="majorBidi"/>
          <w:b/>
          <w:bCs/>
          <w:color w:val="000000" w:themeColor="text1"/>
          <w:sz w:val="24"/>
          <w:szCs w:val="24"/>
        </w:rPr>
        <w:t>Keywords:</w:t>
      </w:r>
      <w:r w:rsidRPr="000A0A89">
        <w:t xml:space="preserve"> </w:t>
      </w:r>
      <w:r w:rsidRPr="000A0A89">
        <w:rPr>
          <w:rFonts w:asciiTheme="majorBidi" w:hAnsiTheme="majorBidi" w:cstheme="majorBidi"/>
          <w:b/>
          <w:bCs/>
          <w:color w:val="000000" w:themeColor="text1"/>
          <w:sz w:val="24"/>
          <w:szCs w:val="24"/>
        </w:rPr>
        <w:t>Cytokine Storm</w:t>
      </w:r>
      <w:r w:rsidRPr="000463CA">
        <w:rPr>
          <w:rFonts w:asciiTheme="majorBidi" w:hAnsiTheme="majorBidi" w:cstheme="majorBidi"/>
          <w:b/>
          <w:bCs/>
          <w:color w:val="000000" w:themeColor="text1"/>
          <w:sz w:val="24"/>
          <w:szCs w:val="24"/>
        </w:rPr>
        <w:t>,</w:t>
      </w:r>
      <w:r w:rsidRPr="000A0A89">
        <w:rPr>
          <w:rFonts w:asciiTheme="majorBidi" w:hAnsiTheme="majorBidi" w:cstheme="majorBidi"/>
          <w:b/>
          <w:bCs/>
          <w:color w:val="000000" w:themeColor="text1"/>
          <w:sz w:val="24"/>
          <w:szCs w:val="24"/>
        </w:rPr>
        <w:t xml:space="preserve"> Severity</w:t>
      </w:r>
      <w:r w:rsidRPr="000463CA">
        <w:rPr>
          <w:rFonts w:asciiTheme="majorBidi" w:hAnsiTheme="majorBidi" w:cstheme="majorBidi"/>
          <w:b/>
          <w:bCs/>
          <w:color w:val="000000" w:themeColor="text1"/>
          <w:sz w:val="24"/>
          <w:szCs w:val="24"/>
        </w:rPr>
        <w:t>,</w:t>
      </w:r>
      <w:r w:rsidRPr="000A0A89">
        <w:t xml:space="preserve"> </w:t>
      </w:r>
      <w:r w:rsidRPr="000A0A89">
        <w:rPr>
          <w:rFonts w:asciiTheme="majorBidi" w:hAnsiTheme="majorBidi" w:cstheme="majorBidi"/>
          <w:b/>
          <w:bCs/>
          <w:color w:val="000000" w:themeColor="text1"/>
          <w:sz w:val="24"/>
          <w:szCs w:val="24"/>
        </w:rPr>
        <w:t>Respiratory</w:t>
      </w:r>
      <w:r w:rsidRPr="000463CA">
        <w:rPr>
          <w:rFonts w:asciiTheme="majorBidi" w:hAnsiTheme="majorBidi" w:cstheme="majorBidi"/>
          <w:b/>
          <w:bCs/>
          <w:color w:val="000000" w:themeColor="text1"/>
          <w:sz w:val="24"/>
          <w:szCs w:val="24"/>
        </w:rPr>
        <w:t>,</w:t>
      </w:r>
      <w:r w:rsidR="00140DC1">
        <w:rPr>
          <w:rFonts w:asciiTheme="majorBidi" w:hAnsiTheme="majorBidi" w:cstheme="majorBidi"/>
          <w:b/>
          <w:bCs/>
          <w:color w:val="000000" w:themeColor="text1"/>
          <w:sz w:val="24"/>
          <w:szCs w:val="24"/>
        </w:rPr>
        <w:t xml:space="preserve"> </w:t>
      </w:r>
      <w:r w:rsidRPr="000A0A89">
        <w:rPr>
          <w:rFonts w:asciiTheme="majorBidi" w:hAnsiTheme="majorBidi" w:cstheme="majorBidi"/>
          <w:b/>
          <w:bCs/>
          <w:color w:val="000000" w:themeColor="text1"/>
          <w:sz w:val="24"/>
          <w:szCs w:val="24"/>
        </w:rPr>
        <w:t>Viral Diseases</w:t>
      </w:r>
      <w:r w:rsidRPr="000463CA">
        <w:rPr>
          <w:rFonts w:asciiTheme="majorBidi" w:hAnsiTheme="majorBidi" w:cstheme="majorBidi"/>
          <w:b/>
          <w:bCs/>
          <w:color w:val="000000" w:themeColor="text1"/>
          <w:sz w:val="24"/>
          <w:szCs w:val="24"/>
        </w:rPr>
        <w:t>.</w:t>
      </w:r>
    </w:p>
    <w:p w14:paraId="7DFCE6C0" w14:textId="77777777" w:rsidR="003C70A5" w:rsidRPr="000035AE" w:rsidRDefault="003C70A5" w:rsidP="00AB732B">
      <w:pPr>
        <w:pBdr>
          <w:top w:val="double" w:sz="4" w:space="1" w:color="auto"/>
        </w:pBdr>
        <w:spacing w:after="0"/>
        <w:jc w:val="center"/>
        <w:rPr>
          <w:rFonts w:asciiTheme="majorBidi" w:hAnsiTheme="majorBidi" w:cstheme="majorBidi"/>
          <w:b/>
          <w:sz w:val="16"/>
          <w:szCs w:val="16"/>
        </w:rPr>
      </w:pPr>
      <w:r w:rsidRPr="000035AE">
        <w:rPr>
          <w:rFonts w:asciiTheme="majorBidi" w:hAnsiTheme="majorBidi" w:cstheme="majorBidi"/>
          <w:b/>
          <w:bCs/>
          <w:sz w:val="16"/>
          <w:szCs w:val="16"/>
        </w:rPr>
        <w:t>Article Information</w:t>
      </w:r>
    </w:p>
    <w:p w14:paraId="0FE5B6FE" w14:textId="32B1DCF2" w:rsidR="0003615B" w:rsidRPr="000035AE" w:rsidRDefault="0003615B" w:rsidP="00AB732B">
      <w:pPr>
        <w:spacing w:after="0"/>
        <w:jc w:val="center"/>
        <w:rPr>
          <w:rFonts w:asciiTheme="majorBidi" w:hAnsiTheme="majorBidi" w:cstheme="majorBidi"/>
          <w:sz w:val="16"/>
          <w:szCs w:val="16"/>
          <w:lang w:val="en-US"/>
        </w:rPr>
      </w:pPr>
      <w:r w:rsidRPr="0012269C">
        <w:rPr>
          <w:rFonts w:asciiTheme="majorBidi" w:hAnsiTheme="majorBidi" w:cstheme="majorBidi"/>
          <w:sz w:val="16"/>
          <w:szCs w:val="16"/>
          <w:lang w:val="en-US"/>
        </w:rPr>
        <w:t xml:space="preserve">Received: </w:t>
      </w:r>
      <w:r w:rsidR="00E35378" w:rsidRPr="0012269C">
        <w:rPr>
          <w:rFonts w:asciiTheme="majorBidi" w:hAnsiTheme="majorBidi" w:cstheme="majorBidi"/>
          <w:sz w:val="16"/>
          <w:szCs w:val="16"/>
          <w:lang w:val="en-US"/>
        </w:rPr>
        <w:t>June</w:t>
      </w:r>
      <w:r w:rsidRPr="0012269C">
        <w:rPr>
          <w:rFonts w:asciiTheme="majorBidi" w:hAnsiTheme="majorBidi" w:cstheme="majorBidi"/>
          <w:sz w:val="16"/>
          <w:szCs w:val="16"/>
          <w:lang w:val="en-US"/>
        </w:rPr>
        <w:t xml:space="preserve"> </w:t>
      </w:r>
      <w:r w:rsidR="00346071" w:rsidRPr="0012269C">
        <w:rPr>
          <w:rFonts w:asciiTheme="majorBidi" w:hAnsiTheme="majorBidi" w:cstheme="majorBidi"/>
          <w:sz w:val="16"/>
          <w:szCs w:val="16"/>
          <w:lang w:val="en-US"/>
        </w:rPr>
        <w:t>1</w:t>
      </w:r>
      <w:r w:rsidRPr="0012269C">
        <w:rPr>
          <w:rFonts w:asciiTheme="majorBidi" w:hAnsiTheme="majorBidi" w:cstheme="majorBidi"/>
          <w:sz w:val="16"/>
          <w:szCs w:val="16"/>
          <w:lang w:val="en-US"/>
        </w:rPr>
        <w:t xml:space="preserve">, 2025; Revised: </w:t>
      </w:r>
      <w:r w:rsidR="00E35378" w:rsidRPr="0012269C">
        <w:rPr>
          <w:rFonts w:asciiTheme="majorBidi" w:hAnsiTheme="majorBidi" w:cstheme="majorBidi"/>
          <w:sz w:val="16"/>
          <w:szCs w:val="16"/>
          <w:lang w:val="en-US"/>
        </w:rPr>
        <w:t>July</w:t>
      </w:r>
      <w:r w:rsidRPr="0012269C">
        <w:rPr>
          <w:rFonts w:asciiTheme="majorBidi" w:hAnsiTheme="majorBidi" w:cstheme="majorBidi"/>
          <w:sz w:val="16"/>
          <w:szCs w:val="16"/>
          <w:lang w:val="en-US"/>
        </w:rPr>
        <w:t xml:space="preserve"> </w:t>
      </w:r>
      <w:r w:rsidR="00D30125" w:rsidRPr="0012269C">
        <w:rPr>
          <w:rFonts w:asciiTheme="majorBidi" w:hAnsiTheme="majorBidi" w:cstheme="majorBidi"/>
          <w:sz w:val="16"/>
          <w:szCs w:val="16"/>
          <w:lang w:val="en-US"/>
        </w:rPr>
        <w:t>23</w:t>
      </w:r>
      <w:r w:rsidRPr="0012269C">
        <w:rPr>
          <w:rFonts w:asciiTheme="majorBidi" w:hAnsiTheme="majorBidi" w:cstheme="majorBidi"/>
          <w:sz w:val="16"/>
          <w:szCs w:val="16"/>
          <w:lang w:val="en-US"/>
        </w:rPr>
        <w:t xml:space="preserve">, 2025; Online: </w:t>
      </w:r>
      <w:r w:rsidR="00E35378" w:rsidRPr="0012269C">
        <w:rPr>
          <w:rFonts w:asciiTheme="majorBidi" w:hAnsiTheme="majorBidi" w:cstheme="majorBidi"/>
          <w:sz w:val="16"/>
          <w:szCs w:val="16"/>
          <w:lang w:val="en-US"/>
        </w:rPr>
        <w:t>September</w:t>
      </w:r>
      <w:r w:rsidRPr="0012269C">
        <w:rPr>
          <w:rFonts w:asciiTheme="majorBidi" w:hAnsiTheme="majorBidi" w:cstheme="majorBidi"/>
          <w:sz w:val="16"/>
          <w:szCs w:val="16"/>
          <w:lang w:val="en-US"/>
        </w:rPr>
        <w:t xml:space="preserve"> 2025</w:t>
      </w:r>
      <w:r w:rsidRPr="000035AE">
        <w:rPr>
          <w:rFonts w:asciiTheme="majorBidi" w:hAnsiTheme="majorBidi" w:cstheme="majorBidi"/>
          <w:sz w:val="16"/>
          <w:szCs w:val="16"/>
          <w:lang w:val="en-US"/>
        </w:rPr>
        <w:t xml:space="preserve"> </w:t>
      </w:r>
    </w:p>
    <w:p w14:paraId="68B2811C" w14:textId="77777777" w:rsidR="003C70A5" w:rsidRPr="000035AE" w:rsidRDefault="003C70A5" w:rsidP="00AB732B">
      <w:pPr>
        <w:spacing w:after="0"/>
        <w:jc w:val="center"/>
        <w:rPr>
          <w:rFonts w:asciiTheme="majorBidi" w:hAnsiTheme="majorBidi" w:cstheme="majorBidi"/>
          <w:lang w:val="en-US"/>
        </w:rPr>
      </w:pPr>
    </w:p>
    <w:bookmarkEnd w:id="1"/>
    <w:bookmarkEnd w:id="2"/>
    <w:p w14:paraId="230FF454" w14:textId="77777777" w:rsidR="003C70A5" w:rsidRPr="000035AE" w:rsidRDefault="003C70A5" w:rsidP="00AB732B">
      <w:pPr>
        <w:spacing w:after="0"/>
        <w:rPr>
          <w:rFonts w:asciiTheme="majorBidi" w:hAnsiTheme="majorBidi" w:cstheme="majorBidi"/>
        </w:rPr>
        <w:sectPr w:rsidR="003C70A5" w:rsidRPr="000035AE" w:rsidSect="00B77DBC">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134" w:header="709" w:footer="709" w:gutter="0"/>
          <w:cols w:space="454"/>
          <w:titlePg/>
          <w:docGrid w:linePitch="360"/>
        </w:sectPr>
      </w:pPr>
    </w:p>
    <w:p w14:paraId="00202928" w14:textId="77777777" w:rsidR="004A6D6C" w:rsidRPr="000A0A89" w:rsidRDefault="004A6D6C" w:rsidP="00AB732B">
      <w:pPr>
        <w:spacing w:after="0"/>
        <w:jc w:val="both"/>
        <w:rPr>
          <w:rFonts w:asciiTheme="majorBidi" w:eastAsia="Arial Unicode MS" w:hAnsiTheme="majorBidi" w:cstheme="majorBidi"/>
          <w:color w:val="000000"/>
          <w:sz w:val="28"/>
          <w:szCs w:val="28"/>
          <w:bdr w:val="none" w:sz="0" w:space="0" w:color="auto" w:frame="1"/>
          <w14:textOutline w14:w="12700" w14:cap="flat" w14:cmpd="sng" w14:algn="ctr">
            <w14:noFill/>
            <w14:prstDash w14:val="solid"/>
            <w14:miter w14:lim="100000"/>
          </w14:textOutline>
        </w:rPr>
      </w:pPr>
      <w:r w:rsidRPr="000035AE">
        <w:rPr>
          <w:rFonts w:asciiTheme="majorBidi" w:eastAsia="Arial Unicode MS" w:hAnsiTheme="majorBidi" w:cstheme="majorBidi"/>
          <w:b/>
          <w:bCs/>
          <w:color w:val="000000"/>
          <w:sz w:val="28"/>
          <w:szCs w:val="28"/>
          <w:bdr w:val="none" w:sz="0" w:space="0" w:color="auto" w:frame="1"/>
          <w14:textOutline w14:w="12700" w14:cap="flat" w14:cmpd="sng" w14:algn="ctr">
            <w14:noFill/>
            <w14:prstDash w14:val="solid"/>
            <w14:miter w14:lim="100000"/>
          </w14:textOutline>
        </w:rPr>
        <w:t>INTRODUCTION</w:t>
      </w:r>
    </w:p>
    <w:p w14:paraId="776C9816" w14:textId="35BCEBA7" w:rsidR="00B77DBC" w:rsidRPr="00B77DBC" w:rsidRDefault="00B77DBC" w:rsidP="00AB732B">
      <w:pPr>
        <w:spacing w:after="0"/>
        <w:jc w:val="both"/>
        <w:rPr>
          <w:rFonts w:asciiTheme="majorBidi" w:hAnsiTheme="majorBidi" w:cstheme="majorBidi"/>
          <w:sz w:val="24"/>
          <w:szCs w:val="24"/>
        </w:rPr>
      </w:pPr>
      <w:r>
        <w:rPr>
          <w:rFonts w:asciiTheme="majorBidi" w:hAnsiTheme="majorBidi" w:cstheme="majorBidi"/>
          <w:sz w:val="24"/>
          <w:szCs w:val="24"/>
          <w:lang w:val="en-US"/>
        </w:rPr>
        <w:t xml:space="preserve">    </w:t>
      </w:r>
      <w:r w:rsidRPr="00B77DBC">
        <w:rPr>
          <w:rFonts w:asciiTheme="majorBidi" w:hAnsiTheme="majorBidi" w:cstheme="majorBidi"/>
          <w:sz w:val="24"/>
          <w:szCs w:val="24"/>
        </w:rPr>
        <w:t>A cytokine storm is a reaction in humans caused by the excessive and uncontrolled release of inflammatory cell signals called cytokines by the body's innate immune system.</w:t>
      </w:r>
      <w:r w:rsidRPr="00B77DBC">
        <w:rPr>
          <w:rFonts w:asciiTheme="majorBidi" w:hAnsiTheme="majorBidi" w:cstheme="majorBidi"/>
          <w:sz w:val="24"/>
          <w:szCs w:val="24"/>
          <w:vertAlign w:val="superscript"/>
        </w:rPr>
        <w:t>1</w:t>
      </w: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Cytokines are part of the body's immune response, but their sudden and vast release leads to multiple organ dysfunction and death.</w:t>
      </w:r>
      <w:r w:rsidRPr="00B77DBC">
        <w:rPr>
          <w:rFonts w:asciiTheme="majorBidi" w:hAnsiTheme="majorBidi" w:cstheme="majorBidi"/>
          <w:sz w:val="24"/>
          <w:szCs w:val="24"/>
          <w:vertAlign w:val="superscript"/>
        </w:rPr>
        <w:t>2</w:t>
      </w: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Oversecretion of cytokines causes tissue damage. The "cytokine storm" has been associated with COVID-19, and it is responsible for causing severe and critical disease that requires intensive care.</w:t>
      </w:r>
      <w:r w:rsidRPr="00B77DBC">
        <w:rPr>
          <w:rFonts w:asciiTheme="majorBidi" w:hAnsiTheme="majorBidi" w:cstheme="majorBidi"/>
          <w:sz w:val="24"/>
          <w:szCs w:val="24"/>
          <w:vertAlign w:val="superscript"/>
        </w:rPr>
        <w:t>3</w:t>
      </w: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 xml:space="preserve">A cytokine storm refers to a state in which the immune system secretes enormous quantities of interleukins, such as interleukin-6 (IL-6), </w:t>
      </w:r>
      <w:r w:rsidRPr="00B77DBC">
        <w:rPr>
          <w:rFonts w:asciiTheme="majorBidi" w:hAnsiTheme="majorBidi" w:cstheme="majorBidi"/>
          <w:sz w:val="24"/>
          <w:szCs w:val="24"/>
        </w:rPr>
        <w:t xml:space="preserve">tumor necrosis factor alpha (TNF-α), and interleukin-1 beta (IL-1β), which attract high concentrations of immune cells and contribute to inflammation in viral respiratory illnesses and </w:t>
      </w:r>
      <w:r w:rsidR="000A48AF">
        <w:rPr>
          <w:rFonts w:asciiTheme="majorBidi" w:hAnsiTheme="majorBidi" w:cstheme="majorBidi"/>
          <w:sz w:val="24"/>
          <w:szCs w:val="24"/>
        </w:rPr>
        <w:t>leading</w:t>
      </w:r>
      <w:r w:rsidRPr="00B77DBC">
        <w:rPr>
          <w:rFonts w:asciiTheme="majorBidi" w:hAnsiTheme="majorBidi" w:cstheme="majorBidi"/>
          <w:sz w:val="24"/>
          <w:szCs w:val="24"/>
        </w:rPr>
        <w:t xml:space="preserve"> to acute respiratory distress syndrome (ARDS) and thrombosis.</w:t>
      </w:r>
      <w:r w:rsidRPr="00B77DBC">
        <w:rPr>
          <w:rFonts w:asciiTheme="majorBidi" w:hAnsiTheme="majorBidi" w:cstheme="majorBidi"/>
          <w:sz w:val="24"/>
          <w:szCs w:val="24"/>
          <w:vertAlign w:val="superscript"/>
        </w:rPr>
        <w:t>4</w:t>
      </w: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Among the most notable viruses that are associated with the danger of cytokine storm are influenza, rhinovirus, and parainfluenza viruses, whose manifestations vary from mere sneezing to potentially life-threatening pneumonia. Such viruses are characterized by their various degrees of virulence, which influence how they behave and viciously.</w:t>
      </w:r>
      <w:r w:rsidRPr="00B77DBC">
        <w:rPr>
          <w:rFonts w:asciiTheme="majorBidi" w:hAnsiTheme="majorBidi" w:cstheme="majorBidi"/>
          <w:sz w:val="24"/>
          <w:szCs w:val="24"/>
          <w:vertAlign w:val="superscript"/>
        </w:rPr>
        <w:t>5</w:t>
      </w:r>
    </w:p>
    <w:p w14:paraId="65A9D3AA" w14:textId="230C0BD4" w:rsidR="00B77DBC" w:rsidRPr="00B77DBC" w:rsidRDefault="00B77DBC" w:rsidP="00AB732B">
      <w:pPr>
        <w:spacing w:after="0" w:line="360" w:lineRule="auto"/>
        <w:jc w:val="both"/>
        <w:rPr>
          <w:rFonts w:asciiTheme="majorBidi" w:hAnsiTheme="majorBidi" w:cstheme="majorBidi"/>
          <w:sz w:val="24"/>
          <w:szCs w:val="24"/>
          <w:rtl/>
        </w:rPr>
      </w:pP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 xml:space="preserve">Influenza viruses result in winter flu, while rhinoviruses result in cold, </w:t>
      </w:r>
      <w:r w:rsidR="000A48AF">
        <w:rPr>
          <w:rFonts w:asciiTheme="majorBidi" w:hAnsiTheme="majorBidi" w:cstheme="majorBidi"/>
          <w:sz w:val="24"/>
          <w:szCs w:val="24"/>
        </w:rPr>
        <w:t>and</w:t>
      </w:r>
      <w:r w:rsidRPr="00B77DBC">
        <w:rPr>
          <w:rFonts w:asciiTheme="majorBidi" w:hAnsiTheme="majorBidi" w:cstheme="majorBidi"/>
          <w:sz w:val="24"/>
          <w:szCs w:val="24"/>
        </w:rPr>
        <w:t xml:space="preserve"> parainfluenza </w:t>
      </w:r>
      <w:r w:rsidRPr="00B77DBC">
        <w:rPr>
          <w:rFonts w:asciiTheme="majorBidi" w:hAnsiTheme="majorBidi" w:cstheme="majorBidi"/>
          <w:sz w:val="24"/>
          <w:szCs w:val="24"/>
        </w:rPr>
        <w:lastRenderedPageBreak/>
        <w:t>viruses result in respiratory distress.</w:t>
      </w:r>
      <w:r w:rsidRPr="00B77DBC">
        <w:rPr>
          <w:rFonts w:asciiTheme="majorBidi" w:hAnsiTheme="majorBidi" w:cstheme="majorBidi"/>
          <w:sz w:val="24"/>
          <w:szCs w:val="24"/>
          <w:vertAlign w:val="superscript"/>
        </w:rPr>
        <w:t>6</w:t>
      </w: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Though these viruses differ in their intensity and attack modes, they have one thing in common: the desire to penetrate our respiratory systems, and knowing them is an important step in countering them.</w:t>
      </w:r>
      <w:r w:rsidRPr="00B77DBC">
        <w:rPr>
          <w:rFonts w:asciiTheme="majorBidi" w:hAnsiTheme="majorBidi" w:cstheme="majorBidi"/>
          <w:sz w:val="24"/>
          <w:szCs w:val="24"/>
          <w:vertAlign w:val="superscript"/>
        </w:rPr>
        <w:t>7</w:t>
      </w: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It is hoped that this research will compare the cytokine storm in prevalent respiratory viruses and elucidate immune response differences with identical clinical manifestations. Additionally, it is aimed at identifying factors of inflammation severity, such as age and gender. There is also an assessment needed of the utilization of VIDS technology in determining if it is as accurate as traditional methods.</w:t>
      </w:r>
    </w:p>
    <w:p w14:paraId="32B3AAF1" w14:textId="29A341BD" w:rsidR="00B77DBC" w:rsidRDefault="00B77DBC" w:rsidP="00AB732B">
      <w:pPr>
        <w:spacing w:after="0" w:line="360" w:lineRule="auto"/>
        <w:jc w:val="both"/>
        <w:rPr>
          <w:rFonts w:asciiTheme="majorBidi" w:hAnsiTheme="majorBidi" w:cstheme="majorBidi"/>
          <w:b/>
          <w:bCs/>
          <w:sz w:val="28"/>
          <w:szCs w:val="28"/>
          <w:lang w:val="en-US"/>
        </w:rPr>
      </w:pPr>
      <w:r w:rsidRPr="00FA3A2F">
        <w:rPr>
          <w:rFonts w:asciiTheme="majorBidi" w:hAnsiTheme="majorBidi" w:cstheme="majorBidi"/>
          <w:b/>
          <w:bCs/>
          <w:sz w:val="28"/>
          <w:szCs w:val="28"/>
        </w:rPr>
        <w:t>MATERIALS AND METHODS</w:t>
      </w:r>
    </w:p>
    <w:p w14:paraId="4B81EE98" w14:textId="06B25AC7" w:rsidR="00B77DBC" w:rsidRPr="00B77DBC" w:rsidRDefault="00B77DBC" w:rsidP="00AB732B">
      <w:pPr>
        <w:spacing w:after="0" w:line="360" w:lineRule="auto"/>
        <w:jc w:val="both"/>
        <w:rPr>
          <w:rFonts w:asciiTheme="majorBidi" w:hAnsiTheme="majorBidi" w:cstheme="majorBidi"/>
          <w:b/>
          <w:bCs/>
          <w:sz w:val="24"/>
          <w:szCs w:val="24"/>
        </w:rPr>
      </w:pPr>
      <w:r>
        <w:rPr>
          <w:rFonts w:asciiTheme="majorBidi" w:hAnsiTheme="majorBidi" w:cstheme="majorBidi"/>
          <w:b/>
          <w:bCs/>
          <w:sz w:val="28"/>
          <w:szCs w:val="28"/>
          <w:lang w:val="en-US"/>
        </w:rPr>
        <w:t xml:space="preserve">      </w:t>
      </w:r>
      <w:r w:rsidRPr="00B77DBC">
        <w:rPr>
          <w:rFonts w:asciiTheme="majorBidi" w:hAnsiTheme="majorBidi" w:cstheme="majorBidi"/>
          <w:sz w:val="24"/>
          <w:szCs w:val="24"/>
        </w:rPr>
        <w:t>The research included 350 samples that were collected from Al-Furat Al-Awsat Hospital, Al-Sadr Teaching Hospital, Al-Hakim General Hospital, and Al-Zahraa Teaching Hospital, in addition to outpatient clinics, from October 1, 2024, to February 1, 2025. The samples were divided into 300 samples from patients who were infected with respiratory viruses (influenza, parainfluenza, and rhinovirus) and 50 samples from a control group. The samples were divided into four groups:</w:t>
      </w:r>
    </w:p>
    <w:p w14:paraId="52AB1EB3" w14:textId="633C1F86" w:rsidR="00B77DBC" w:rsidRPr="00284F78" w:rsidRDefault="00B77DBC" w:rsidP="00AB732B">
      <w:pPr>
        <w:spacing w:after="0" w:line="360" w:lineRule="auto"/>
        <w:jc w:val="both"/>
        <w:rPr>
          <w:rFonts w:asciiTheme="majorBidi" w:hAnsiTheme="majorBidi" w:cstheme="majorBidi"/>
          <w:sz w:val="24"/>
          <w:szCs w:val="24"/>
          <w:lang w:val="en-US"/>
        </w:rPr>
      </w:pPr>
      <w:r w:rsidRPr="00B77DBC">
        <w:rPr>
          <w:rFonts w:asciiTheme="majorBidi" w:hAnsiTheme="majorBidi" w:cstheme="majorBidi"/>
          <w:sz w:val="24"/>
          <w:szCs w:val="24"/>
        </w:rPr>
        <w:t>1. 115 confirmed influenza virus patients</w:t>
      </w:r>
      <w:r w:rsidR="00284F78">
        <w:rPr>
          <w:rFonts w:asciiTheme="majorBidi" w:hAnsiTheme="majorBidi" w:cstheme="majorBidi"/>
          <w:sz w:val="24"/>
          <w:szCs w:val="24"/>
          <w:lang w:val="en-US"/>
        </w:rPr>
        <w:t>.</w:t>
      </w:r>
    </w:p>
    <w:p w14:paraId="09C59EEF" w14:textId="03014837" w:rsidR="00B77DBC" w:rsidRPr="00284F78" w:rsidRDefault="00B77DBC" w:rsidP="00AB732B">
      <w:pPr>
        <w:spacing w:after="0" w:line="360" w:lineRule="auto"/>
        <w:jc w:val="both"/>
        <w:rPr>
          <w:rFonts w:asciiTheme="majorBidi" w:hAnsiTheme="majorBidi" w:cstheme="majorBidi"/>
          <w:sz w:val="24"/>
          <w:szCs w:val="24"/>
          <w:lang w:val="en-US"/>
        </w:rPr>
      </w:pPr>
      <w:r w:rsidRPr="00B77DBC">
        <w:rPr>
          <w:rFonts w:asciiTheme="majorBidi" w:hAnsiTheme="majorBidi" w:cstheme="majorBidi"/>
          <w:sz w:val="24"/>
          <w:szCs w:val="24"/>
        </w:rPr>
        <w:t>2. 100 confirmed parainfluenza virus patients</w:t>
      </w:r>
      <w:r w:rsidR="00284F78">
        <w:rPr>
          <w:rFonts w:asciiTheme="majorBidi" w:hAnsiTheme="majorBidi" w:cstheme="majorBidi"/>
          <w:sz w:val="24"/>
          <w:szCs w:val="24"/>
          <w:lang w:val="en-US"/>
        </w:rPr>
        <w:t>.</w:t>
      </w:r>
    </w:p>
    <w:p w14:paraId="7D6EEB7F" w14:textId="67D57548" w:rsidR="00B77DBC" w:rsidRPr="00284F78" w:rsidRDefault="00B77DBC" w:rsidP="00AB732B">
      <w:pPr>
        <w:spacing w:after="0" w:line="360" w:lineRule="auto"/>
        <w:jc w:val="both"/>
        <w:rPr>
          <w:rFonts w:asciiTheme="majorBidi" w:hAnsiTheme="majorBidi" w:cstheme="majorBidi"/>
          <w:sz w:val="24"/>
          <w:szCs w:val="24"/>
          <w:lang w:val="en-US"/>
        </w:rPr>
      </w:pPr>
      <w:r w:rsidRPr="00B77DBC">
        <w:rPr>
          <w:rFonts w:asciiTheme="majorBidi" w:hAnsiTheme="majorBidi" w:cstheme="majorBidi"/>
          <w:sz w:val="24"/>
          <w:szCs w:val="24"/>
        </w:rPr>
        <w:t>3. 95 confirmed rhinovirus patients</w:t>
      </w:r>
      <w:r w:rsidR="00284F78">
        <w:rPr>
          <w:rFonts w:asciiTheme="majorBidi" w:hAnsiTheme="majorBidi" w:cstheme="majorBidi"/>
          <w:sz w:val="24"/>
          <w:szCs w:val="24"/>
          <w:lang w:val="en-US"/>
        </w:rPr>
        <w:t>.</w:t>
      </w:r>
    </w:p>
    <w:p w14:paraId="234D5B94" w14:textId="735A3CA5" w:rsidR="00B77DBC" w:rsidRPr="00284F78" w:rsidRDefault="00B77DBC" w:rsidP="00AB732B">
      <w:pPr>
        <w:spacing w:after="0" w:line="360" w:lineRule="auto"/>
        <w:jc w:val="both"/>
        <w:rPr>
          <w:rFonts w:asciiTheme="majorBidi" w:hAnsiTheme="majorBidi" w:cstheme="majorBidi"/>
          <w:sz w:val="24"/>
          <w:szCs w:val="24"/>
          <w:lang w:val="en-US"/>
        </w:rPr>
      </w:pPr>
      <w:r w:rsidRPr="00B77DBC">
        <w:rPr>
          <w:rFonts w:asciiTheme="majorBidi" w:hAnsiTheme="majorBidi" w:cstheme="majorBidi"/>
          <w:sz w:val="24"/>
          <w:szCs w:val="24"/>
        </w:rPr>
        <w:t>4. 50 samples as the control group</w:t>
      </w:r>
      <w:r w:rsidR="00284F78">
        <w:rPr>
          <w:rFonts w:asciiTheme="majorBidi" w:hAnsiTheme="majorBidi" w:cstheme="majorBidi"/>
          <w:sz w:val="24"/>
          <w:szCs w:val="24"/>
          <w:lang w:val="en-US"/>
        </w:rPr>
        <w:t>.</w:t>
      </w:r>
    </w:p>
    <w:p w14:paraId="149244B5" w14:textId="77777777" w:rsidR="00284F78" w:rsidRDefault="00B77DBC" w:rsidP="00AB732B">
      <w:pPr>
        <w:spacing w:after="0" w:line="360" w:lineRule="auto"/>
        <w:jc w:val="both"/>
        <w:rPr>
          <w:rFonts w:asciiTheme="majorBidi" w:hAnsiTheme="majorBidi" w:cstheme="majorBidi"/>
          <w:sz w:val="24"/>
          <w:szCs w:val="24"/>
          <w:lang w:val="en-US"/>
        </w:rPr>
      </w:pPr>
      <w:r w:rsidRPr="00B77DBC">
        <w:rPr>
          <w:rFonts w:asciiTheme="majorBidi" w:hAnsiTheme="majorBidi" w:cstheme="majorBidi"/>
          <w:sz w:val="24"/>
          <w:szCs w:val="24"/>
        </w:rPr>
        <w:t xml:space="preserve">Patients with seasonal allergies, asthma, </w:t>
      </w:r>
    </w:p>
    <w:p w14:paraId="69BEFA94" w14:textId="4A6282E2" w:rsidR="00B77DBC" w:rsidRPr="00B77DBC" w:rsidRDefault="00B77DBC" w:rsidP="00AB732B">
      <w:pPr>
        <w:spacing w:after="0" w:line="360" w:lineRule="auto"/>
        <w:jc w:val="both"/>
        <w:rPr>
          <w:rFonts w:asciiTheme="majorBidi" w:hAnsiTheme="majorBidi" w:cstheme="majorBidi"/>
          <w:sz w:val="24"/>
          <w:szCs w:val="24"/>
        </w:rPr>
      </w:pPr>
      <w:r w:rsidRPr="00B77DBC">
        <w:rPr>
          <w:rFonts w:asciiTheme="majorBidi" w:hAnsiTheme="majorBidi" w:cstheme="majorBidi"/>
          <w:sz w:val="24"/>
          <w:szCs w:val="24"/>
        </w:rPr>
        <w:t>or chronic diseases were excluded.</w:t>
      </w:r>
    </w:p>
    <w:p w14:paraId="5E9FFA59" w14:textId="77777777" w:rsidR="00B77DBC" w:rsidRPr="00B77DBC" w:rsidRDefault="00B77DBC" w:rsidP="00AB732B">
      <w:pPr>
        <w:spacing w:after="0" w:line="360" w:lineRule="auto"/>
        <w:jc w:val="both"/>
        <w:rPr>
          <w:rFonts w:asciiTheme="majorBidi" w:hAnsiTheme="majorBidi" w:cstheme="majorBidi"/>
          <w:sz w:val="24"/>
          <w:szCs w:val="24"/>
        </w:rPr>
      </w:pPr>
      <w:r w:rsidRPr="00B77DBC">
        <w:rPr>
          <w:rFonts w:asciiTheme="majorBidi" w:hAnsiTheme="majorBidi" w:cstheme="majorBidi"/>
          <w:sz w:val="24"/>
          <w:szCs w:val="24"/>
        </w:rPr>
        <w:t>The samples were divided according to age and gender.</w:t>
      </w:r>
    </w:p>
    <w:p w14:paraId="3A540877" w14:textId="77777777" w:rsidR="00B77DBC" w:rsidRPr="00B77DBC" w:rsidRDefault="00B77DBC" w:rsidP="00AB732B">
      <w:pPr>
        <w:spacing w:after="0" w:line="360" w:lineRule="auto"/>
        <w:jc w:val="both"/>
        <w:rPr>
          <w:rFonts w:asciiTheme="majorBidi" w:hAnsiTheme="majorBidi" w:cstheme="majorBidi"/>
          <w:sz w:val="24"/>
          <w:szCs w:val="24"/>
        </w:rPr>
      </w:pPr>
      <w:r w:rsidRPr="00B77DBC">
        <w:rPr>
          <w:rFonts w:asciiTheme="majorBidi" w:hAnsiTheme="majorBidi" w:cstheme="majorBidi"/>
          <w:sz w:val="24"/>
          <w:szCs w:val="24"/>
        </w:rPr>
        <w:t>Comparison of cytokine levels between the different groups.</w:t>
      </w:r>
    </w:p>
    <w:p w14:paraId="44D598CB" w14:textId="77777777" w:rsidR="00B77DBC" w:rsidRPr="00B77DBC" w:rsidRDefault="00B77DBC" w:rsidP="00AB732B">
      <w:pPr>
        <w:spacing w:after="0" w:line="360" w:lineRule="auto"/>
        <w:jc w:val="both"/>
        <w:rPr>
          <w:rFonts w:asciiTheme="majorBidi" w:hAnsiTheme="majorBidi" w:cstheme="majorBidi"/>
          <w:b/>
          <w:bCs/>
          <w:i/>
          <w:iCs/>
          <w:sz w:val="24"/>
          <w:szCs w:val="24"/>
        </w:rPr>
      </w:pPr>
      <w:r w:rsidRPr="00B77DBC">
        <w:rPr>
          <w:rFonts w:asciiTheme="majorBidi" w:hAnsiTheme="majorBidi" w:cstheme="majorBidi"/>
          <w:b/>
          <w:bCs/>
          <w:i/>
          <w:iCs/>
          <w:sz w:val="24"/>
          <w:szCs w:val="24"/>
        </w:rPr>
        <w:t>Laboratory Analysis:</w:t>
      </w:r>
    </w:p>
    <w:p w14:paraId="51537C3C" w14:textId="238307D4" w:rsidR="00B77DBC" w:rsidRPr="00B77DBC" w:rsidRDefault="00284F78" w:rsidP="00AB732B">
      <w:pPr>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B77DBC" w:rsidRPr="00B77DBC">
        <w:rPr>
          <w:rFonts w:asciiTheme="majorBidi" w:hAnsiTheme="majorBidi" w:cstheme="majorBidi"/>
          <w:sz w:val="24"/>
          <w:szCs w:val="24"/>
        </w:rPr>
        <w:t>VIDS (Viral Immunodiagnostic System) devices for the detection of viruses (influenza, parainfluenza, rhinovirus).</w:t>
      </w:r>
    </w:p>
    <w:p w14:paraId="0AD1F77F" w14:textId="23B37223" w:rsidR="00B77DBC" w:rsidRPr="00B77DBC" w:rsidRDefault="00284F78" w:rsidP="00AB732B">
      <w:pPr>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B77DBC" w:rsidRPr="00B77DBC">
        <w:rPr>
          <w:rFonts w:asciiTheme="majorBidi" w:hAnsiTheme="majorBidi" w:cstheme="majorBidi"/>
          <w:sz w:val="24"/>
          <w:szCs w:val="24"/>
        </w:rPr>
        <w:t>ELISA kits for measuring cytokines (IL-6, TNF-α, IL-1β).</w:t>
      </w:r>
    </w:p>
    <w:p w14:paraId="3410739E" w14:textId="77777777" w:rsidR="00B77DBC" w:rsidRPr="00B77DBC" w:rsidRDefault="00B77DBC" w:rsidP="00AB732B">
      <w:pPr>
        <w:spacing w:after="0" w:line="360" w:lineRule="auto"/>
        <w:jc w:val="both"/>
        <w:rPr>
          <w:rFonts w:asciiTheme="majorBidi" w:hAnsiTheme="majorBidi" w:cstheme="majorBidi"/>
          <w:b/>
          <w:bCs/>
          <w:i/>
          <w:iCs/>
          <w:sz w:val="24"/>
          <w:szCs w:val="24"/>
        </w:rPr>
      </w:pPr>
      <w:r w:rsidRPr="00B77DBC">
        <w:rPr>
          <w:rFonts w:asciiTheme="majorBidi" w:hAnsiTheme="majorBidi" w:cstheme="majorBidi"/>
          <w:b/>
          <w:bCs/>
          <w:i/>
          <w:iCs/>
          <w:sz w:val="24"/>
          <w:szCs w:val="24"/>
        </w:rPr>
        <w:t>Using the devices:</w:t>
      </w:r>
    </w:p>
    <w:p w14:paraId="76303BE1" w14:textId="16377346" w:rsidR="00B77DBC" w:rsidRPr="00284F78" w:rsidRDefault="00284F78" w:rsidP="00AB732B">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B77DBC" w:rsidRPr="00B77DBC">
        <w:rPr>
          <w:rFonts w:asciiTheme="majorBidi" w:hAnsiTheme="majorBidi" w:cstheme="majorBidi"/>
          <w:sz w:val="24"/>
          <w:szCs w:val="24"/>
        </w:rPr>
        <w:t xml:space="preserve"> ELISA reader. – Mini vids and centrifuge</w:t>
      </w:r>
      <w:r>
        <w:rPr>
          <w:rFonts w:asciiTheme="majorBidi" w:hAnsiTheme="majorBidi" w:cstheme="majorBidi"/>
          <w:sz w:val="24"/>
          <w:szCs w:val="24"/>
          <w:lang w:val="en-US"/>
        </w:rPr>
        <w:t>.</w:t>
      </w:r>
    </w:p>
    <w:p w14:paraId="33760B85" w14:textId="77777777" w:rsidR="00B77DBC" w:rsidRPr="00B77DBC" w:rsidRDefault="00B77DBC" w:rsidP="00AB732B">
      <w:pPr>
        <w:spacing w:after="0" w:line="360" w:lineRule="auto"/>
        <w:jc w:val="both"/>
        <w:rPr>
          <w:rFonts w:asciiTheme="majorBidi" w:hAnsiTheme="majorBidi" w:cstheme="majorBidi"/>
          <w:b/>
          <w:bCs/>
          <w:i/>
          <w:iCs/>
          <w:sz w:val="24"/>
          <w:szCs w:val="24"/>
        </w:rPr>
      </w:pPr>
      <w:r w:rsidRPr="00B77DBC">
        <w:rPr>
          <w:rFonts w:asciiTheme="majorBidi" w:hAnsiTheme="majorBidi" w:cstheme="majorBidi"/>
          <w:b/>
          <w:bCs/>
          <w:i/>
          <w:iCs/>
          <w:sz w:val="24"/>
          <w:szCs w:val="24"/>
        </w:rPr>
        <w:t>Procedure:</w:t>
      </w:r>
    </w:p>
    <w:p w14:paraId="52A4ACA1" w14:textId="6AB34CB4" w:rsidR="00B77DBC" w:rsidRPr="00B77DBC" w:rsidRDefault="00284F78" w:rsidP="00AB732B">
      <w:pPr>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B77DBC" w:rsidRPr="00B77DBC">
        <w:rPr>
          <w:rFonts w:asciiTheme="majorBidi" w:hAnsiTheme="majorBidi" w:cstheme="majorBidi"/>
          <w:sz w:val="24"/>
          <w:szCs w:val="24"/>
        </w:rPr>
        <w:t>Venous blood samples (5 ml) were collected in tubes containing anticoagulant (EDTA).</w:t>
      </w:r>
    </w:p>
    <w:p w14:paraId="127F88FD" w14:textId="77777777" w:rsidR="00B77DBC" w:rsidRPr="00B77DBC" w:rsidRDefault="00B77DBC" w:rsidP="00AB732B">
      <w:pPr>
        <w:spacing w:after="0" w:line="360" w:lineRule="auto"/>
        <w:jc w:val="both"/>
        <w:rPr>
          <w:rFonts w:asciiTheme="majorBidi" w:hAnsiTheme="majorBidi" w:cstheme="majorBidi"/>
          <w:sz w:val="24"/>
          <w:szCs w:val="24"/>
        </w:rPr>
      </w:pPr>
      <w:r w:rsidRPr="00B77DBC">
        <w:rPr>
          <w:rFonts w:asciiTheme="majorBidi" w:hAnsiTheme="majorBidi" w:cstheme="majorBidi"/>
          <w:sz w:val="24"/>
          <w:szCs w:val="24"/>
        </w:rPr>
        <w:t>Plasma was separated by centrifugation (3000 rpm for 10 minutes) and was stored at -80°C until analysis.</w:t>
      </w:r>
    </w:p>
    <w:p w14:paraId="41B705FC" w14:textId="77777777" w:rsidR="00B77DBC" w:rsidRPr="00B77DBC" w:rsidRDefault="00B77DBC" w:rsidP="00AB732B">
      <w:pPr>
        <w:spacing w:after="0" w:line="360" w:lineRule="auto"/>
        <w:jc w:val="both"/>
        <w:rPr>
          <w:rFonts w:asciiTheme="majorBidi" w:hAnsiTheme="majorBidi" w:cstheme="majorBidi"/>
          <w:b/>
          <w:bCs/>
          <w:i/>
          <w:iCs/>
          <w:sz w:val="24"/>
          <w:szCs w:val="24"/>
        </w:rPr>
      </w:pPr>
      <w:r w:rsidRPr="00B77DBC">
        <w:rPr>
          <w:rFonts w:asciiTheme="majorBidi" w:hAnsiTheme="majorBidi" w:cstheme="majorBidi"/>
          <w:b/>
          <w:bCs/>
          <w:i/>
          <w:iCs/>
          <w:sz w:val="24"/>
          <w:szCs w:val="24"/>
        </w:rPr>
        <w:t>Diagnosis using VIDS technology:</w:t>
      </w:r>
    </w:p>
    <w:p w14:paraId="256D779B" w14:textId="5563F40B" w:rsidR="00B77DBC" w:rsidRPr="00B77DBC" w:rsidRDefault="00284F78" w:rsidP="00AB732B">
      <w:pPr>
        <w:spacing w:after="0"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sidR="00B77DBC" w:rsidRPr="00B77DBC">
        <w:rPr>
          <w:rFonts w:asciiTheme="majorBidi" w:hAnsiTheme="majorBidi" w:cstheme="majorBidi"/>
          <w:sz w:val="24"/>
          <w:szCs w:val="24"/>
        </w:rPr>
        <w:t>Utilize VIDS devices for detecting viral antigens in samples., Measure IL-6, TNF-α, and IL-1β levels in blood plasma according to the manufacturer's protocol.</w:t>
      </w:r>
    </w:p>
    <w:p w14:paraId="73922DBA" w14:textId="5E88E8F3" w:rsidR="00B77DBC" w:rsidRPr="00B77DBC" w:rsidRDefault="00B77DBC" w:rsidP="00AB732B">
      <w:pPr>
        <w:spacing w:after="0" w:line="360" w:lineRule="auto"/>
        <w:jc w:val="both"/>
        <w:rPr>
          <w:rFonts w:asciiTheme="majorBidi" w:hAnsiTheme="majorBidi" w:cstheme="majorBidi"/>
          <w:b/>
          <w:bCs/>
          <w:i/>
          <w:iCs/>
          <w:sz w:val="24"/>
          <w:szCs w:val="24"/>
        </w:rPr>
      </w:pPr>
      <w:r w:rsidRPr="00B77DBC">
        <w:rPr>
          <w:rFonts w:asciiTheme="majorBidi" w:hAnsiTheme="majorBidi" w:cstheme="majorBidi"/>
          <w:b/>
          <w:bCs/>
          <w:i/>
          <w:iCs/>
          <w:sz w:val="24"/>
          <w:szCs w:val="24"/>
        </w:rPr>
        <w:t>Statistical Analysis:</w:t>
      </w:r>
    </w:p>
    <w:p w14:paraId="49F13028" w14:textId="5A94D354" w:rsidR="00B77DBC" w:rsidRPr="00B77DBC" w:rsidRDefault="00B77DBC" w:rsidP="00AB732B">
      <w:pPr>
        <w:spacing w:after="0" w:line="360" w:lineRule="auto"/>
        <w:jc w:val="both"/>
        <w:rPr>
          <w:rFonts w:asciiTheme="majorBidi" w:hAnsiTheme="majorBidi" w:cstheme="majorBidi"/>
          <w:sz w:val="24"/>
          <w:szCs w:val="24"/>
          <w:rtl/>
        </w:rPr>
      </w:pPr>
      <w:r w:rsidRPr="00B77DBC">
        <w:rPr>
          <w:rFonts w:asciiTheme="majorBidi" w:hAnsiTheme="majorBidi" w:cstheme="majorBidi"/>
          <w:sz w:val="24"/>
          <w:szCs w:val="24"/>
        </w:rPr>
        <w:t xml:space="preserve"> </w:t>
      </w:r>
      <w:r w:rsidR="00284F78">
        <w:rPr>
          <w:rFonts w:asciiTheme="majorBidi" w:hAnsiTheme="majorBidi" w:cstheme="majorBidi"/>
          <w:sz w:val="24"/>
          <w:szCs w:val="24"/>
          <w:lang w:val="en-US"/>
        </w:rPr>
        <w:t xml:space="preserve">    </w:t>
      </w:r>
      <w:r w:rsidRPr="00B77DBC">
        <w:rPr>
          <w:rFonts w:asciiTheme="majorBidi" w:hAnsiTheme="majorBidi" w:cstheme="majorBidi"/>
          <w:sz w:val="24"/>
          <w:szCs w:val="24"/>
        </w:rPr>
        <w:t xml:space="preserve">Perform statistical analysis using SPSS or GraphPad Prism, Use t-tests and ANOVA to compare means between groups, </w:t>
      </w:r>
      <w:r w:rsidR="00787DD4">
        <w:rPr>
          <w:rFonts w:asciiTheme="majorBidi" w:hAnsiTheme="majorBidi" w:cstheme="majorBidi"/>
          <w:sz w:val="24"/>
          <w:szCs w:val="24"/>
        </w:rPr>
        <w:t xml:space="preserve">and </w:t>
      </w:r>
      <w:r w:rsidRPr="00B77DBC">
        <w:rPr>
          <w:rFonts w:asciiTheme="majorBidi" w:hAnsiTheme="majorBidi" w:cstheme="majorBidi"/>
          <w:sz w:val="24"/>
          <w:szCs w:val="24"/>
        </w:rPr>
        <w:t>Calculate correlation coefficients between cytokine levels and symptom severity.</w:t>
      </w:r>
    </w:p>
    <w:p w14:paraId="44D14479" w14:textId="600E78A1" w:rsidR="00B77DBC" w:rsidRPr="00B77DBC" w:rsidRDefault="00B77DBC" w:rsidP="00AB732B">
      <w:pPr>
        <w:spacing w:after="0" w:line="360" w:lineRule="auto"/>
        <w:jc w:val="both"/>
        <w:rPr>
          <w:rFonts w:asciiTheme="majorBidi" w:hAnsiTheme="majorBidi" w:cstheme="majorBidi"/>
          <w:b/>
          <w:bCs/>
          <w:sz w:val="28"/>
          <w:szCs w:val="28"/>
        </w:rPr>
      </w:pPr>
      <w:r w:rsidRPr="00B77DBC">
        <w:rPr>
          <w:rFonts w:asciiTheme="majorBidi" w:hAnsiTheme="majorBidi" w:cstheme="majorBidi"/>
          <w:b/>
          <w:bCs/>
          <w:sz w:val="28"/>
          <w:szCs w:val="28"/>
        </w:rPr>
        <w:t>RESULTS AND DISCUSSION</w:t>
      </w:r>
    </w:p>
    <w:p w14:paraId="6FC87B3B" w14:textId="327845E3" w:rsidR="00915A37" w:rsidRPr="00B77DBC" w:rsidRDefault="00B77DBC" w:rsidP="00AB732B">
      <w:pPr>
        <w:spacing w:after="0" w:line="360" w:lineRule="auto"/>
        <w:jc w:val="both"/>
        <w:rPr>
          <w:rFonts w:asciiTheme="majorBidi" w:hAnsiTheme="majorBidi" w:cstheme="majorBidi"/>
          <w:sz w:val="24"/>
          <w:szCs w:val="24"/>
          <w:lang w:val="en-US"/>
        </w:rPr>
        <w:sectPr w:rsidR="00915A37" w:rsidRPr="00B77DBC" w:rsidSect="00284F78">
          <w:footerReference w:type="default" r:id="rId15"/>
          <w:type w:val="continuous"/>
          <w:pgSz w:w="11906" w:h="16838"/>
          <w:pgMar w:top="1134" w:right="1134" w:bottom="1134" w:left="1134" w:header="709" w:footer="709" w:gutter="0"/>
          <w:cols w:num="2" w:space="454"/>
          <w:titlePg/>
          <w:docGrid w:linePitch="360"/>
        </w:sectPr>
      </w:pPr>
      <w:r w:rsidRPr="00B77DBC">
        <w:rPr>
          <w:rFonts w:asciiTheme="majorBidi" w:hAnsiTheme="majorBidi" w:cstheme="majorBidi"/>
          <w:sz w:val="24"/>
          <w:szCs w:val="24"/>
          <w:lang w:val="en-US"/>
        </w:rPr>
        <w:t xml:space="preserve">      </w:t>
      </w:r>
      <w:r w:rsidRPr="00B77DBC">
        <w:rPr>
          <w:rFonts w:asciiTheme="majorBidi" w:hAnsiTheme="majorBidi" w:cstheme="majorBidi"/>
          <w:sz w:val="24"/>
          <w:szCs w:val="24"/>
        </w:rPr>
        <w:t xml:space="preserve">350 samples were collected from individuals with respiratory illnesses. 115 were found to be infected with influenza virus, 100 with parainfluenza virus (PIV), 95 with rhinovirus, and 50 were designated as controls. </w:t>
      </w:r>
      <w:r w:rsidRPr="00B77DBC">
        <w:rPr>
          <w:rFonts w:asciiTheme="majorBidi" w:hAnsiTheme="majorBidi" w:cstheme="majorBidi"/>
          <w:sz w:val="24"/>
          <w:szCs w:val="24"/>
        </w:rPr>
        <w:lastRenderedPageBreak/>
        <w:t xml:space="preserve">The samples were divided into three age groups: 18 to 65 years (&lt;18 years), (18 to 65 years), and (&gt; 65 years). The samples were also </w:t>
      </w:r>
      <w:r w:rsidRPr="00B77DBC">
        <w:rPr>
          <w:rFonts w:asciiTheme="majorBidi" w:hAnsiTheme="majorBidi" w:cstheme="majorBidi"/>
          <w:sz w:val="24"/>
          <w:szCs w:val="24"/>
        </w:rPr>
        <w:t xml:space="preserve">divided by gender (males and females). </w:t>
      </w:r>
      <w:r w:rsidR="00AB732B">
        <w:rPr>
          <w:rFonts w:asciiTheme="majorBidi" w:hAnsiTheme="majorBidi" w:cstheme="majorBidi"/>
          <w:b/>
          <w:bCs/>
          <w:sz w:val="24"/>
          <w:szCs w:val="24"/>
        </w:rPr>
        <w:t xml:space="preserve">Table </w:t>
      </w:r>
      <w:r w:rsidR="00AB732B">
        <w:rPr>
          <w:rFonts w:asciiTheme="majorBidi" w:hAnsiTheme="majorBidi" w:cstheme="majorBidi"/>
          <w:b/>
          <w:bCs/>
          <w:sz w:val="24"/>
          <w:szCs w:val="24"/>
          <w:lang w:val="en-US"/>
        </w:rPr>
        <w:t>1</w:t>
      </w:r>
      <w:r w:rsidRPr="00B77DBC">
        <w:rPr>
          <w:rFonts w:asciiTheme="majorBidi" w:hAnsiTheme="majorBidi" w:cstheme="majorBidi"/>
          <w:sz w:val="24"/>
          <w:szCs w:val="24"/>
        </w:rPr>
        <w:t xml:space="preserve"> shows the distribution of samples according to age and gender</w:t>
      </w:r>
      <w:r w:rsidR="00284F78">
        <w:rPr>
          <w:rFonts w:asciiTheme="majorBidi" w:hAnsiTheme="majorBidi" w:cstheme="majorBidi"/>
          <w:sz w:val="24"/>
          <w:szCs w:val="24"/>
          <w:lang w:val="en-US"/>
        </w:rPr>
        <w:t xml:space="preserve">.          </w:t>
      </w:r>
      <w:r w:rsidR="00284F78" w:rsidRPr="00284F78">
        <w:rPr>
          <w:rFonts w:asciiTheme="majorBidi" w:hAnsiTheme="majorBidi" w:cstheme="majorBidi"/>
          <w:color w:val="FFFFFF" w:themeColor="background1"/>
          <w:sz w:val="24"/>
          <w:szCs w:val="24"/>
          <w:lang w:val="en-US"/>
        </w:rPr>
        <w:t xml:space="preserve"> </w:t>
      </w:r>
      <w:r w:rsidR="00AB732B" w:rsidRPr="00284F78">
        <w:rPr>
          <w:rFonts w:asciiTheme="majorBidi" w:hAnsiTheme="majorBidi" w:cstheme="majorBidi"/>
          <w:color w:val="FFFFFF" w:themeColor="background1"/>
          <w:sz w:val="24"/>
          <w:szCs w:val="24"/>
          <w:lang w:val="en-US"/>
        </w:rPr>
        <w:t>.</w:t>
      </w:r>
    </w:p>
    <w:p w14:paraId="423EF530" w14:textId="77777777" w:rsidR="00915A37" w:rsidRDefault="00915A37" w:rsidP="00AB732B">
      <w:pPr>
        <w:spacing w:after="0"/>
        <w:jc w:val="both"/>
        <w:rPr>
          <w:rFonts w:asciiTheme="majorBidi" w:hAnsiTheme="majorBidi" w:cstheme="majorBidi"/>
          <w:sz w:val="24"/>
          <w:szCs w:val="24"/>
          <w:lang w:val="en-US"/>
        </w:rPr>
        <w:sectPr w:rsidR="00915A37" w:rsidSect="00B77DBC">
          <w:type w:val="continuous"/>
          <w:pgSz w:w="11906" w:h="16838"/>
          <w:pgMar w:top="1134" w:right="1134" w:bottom="1134" w:left="1134" w:header="709" w:footer="709" w:gutter="0"/>
          <w:cols w:space="454"/>
          <w:titlePg/>
          <w:docGrid w:linePitch="360"/>
        </w:sectPr>
      </w:pPr>
    </w:p>
    <w:p w14:paraId="34C5F1F8" w14:textId="55357F5A" w:rsidR="004A6D6C" w:rsidRPr="00893CC1" w:rsidRDefault="00AB732B" w:rsidP="00AB732B">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Table 1 : </w:t>
      </w:r>
      <w:r>
        <w:rPr>
          <w:rFonts w:asciiTheme="majorBidi" w:hAnsiTheme="majorBidi" w:cstheme="majorBidi"/>
          <w:b/>
          <w:bCs/>
          <w:sz w:val="24"/>
          <w:szCs w:val="24"/>
          <w:lang w:val="en-US"/>
        </w:rPr>
        <w:t>D</w:t>
      </w:r>
      <w:r w:rsidR="004A6D6C" w:rsidRPr="00893CC1">
        <w:rPr>
          <w:rFonts w:asciiTheme="majorBidi" w:hAnsiTheme="majorBidi" w:cstheme="majorBidi"/>
          <w:b/>
          <w:bCs/>
          <w:sz w:val="24"/>
          <w:szCs w:val="24"/>
        </w:rPr>
        <w:t>istribution of samples according to age and gender.</w:t>
      </w:r>
    </w:p>
    <w:tbl>
      <w:tblPr>
        <w:tblStyle w:val="TableGrid"/>
        <w:tblW w:w="4846" w:type="pct"/>
        <w:jc w:val="center"/>
        <w:tblLook w:val="04A0" w:firstRow="1" w:lastRow="0" w:firstColumn="1" w:lastColumn="0" w:noHBand="0" w:noVBand="1"/>
      </w:tblPr>
      <w:tblGrid>
        <w:gridCol w:w="1538"/>
        <w:gridCol w:w="1201"/>
        <w:gridCol w:w="1100"/>
        <w:gridCol w:w="1100"/>
        <w:gridCol w:w="966"/>
        <w:gridCol w:w="965"/>
        <w:gridCol w:w="965"/>
        <w:gridCol w:w="831"/>
        <w:gridCol w:w="884"/>
      </w:tblGrid>
      <w:tr w:rsidR="00AF048D" w:rsidRPr="00AB732B" w14:paraId="2A2EB256" w14:textId="77777777" w:rsidTr="008343CF">
        <w:trPr>
          <w:trHeight w:val="882"/>
          <w:jc w:val="center"/>
        </w:trPr>
        <w:tc>
          <w:tcPr>
            <w:tcW w:w="805" w:type="pct"/>
            <w:shd w:val="clear" w:color="auto" w:fill="E7E6E6" w:themeFill="background2"/>
            <w:vAlign w:val="center"/>
            <w:hideMark/>
          </w:tcPr>
          <w:p w14:paraId="28E09761"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Category</w:t>
            </w:r>
          </w:p>
        </w:tc>
        <w:tc>
          <w:tcPr>
            <w:tcW w:w="629" w:type="pct"/>
            <w:vMerge w:val="restart"/>
            <w:shd w:val="clear" w:color="auto" w:fill="E7E6E6" w:themeFill="background2"/>
            <w:textDirection w:val="btLr"/>
            <w:vAlign w:val="center"/>
            <w:hideMark/>
          </w:tcPr>
          <w:p w14:paraId="4B1C2760"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Influenza (n=115)</w:t>
            </w:r>
          </w:p>
        </w:tc>
        <w:tc>
          <w:tcPr>
            <w:tcW w:w="576" w:type="pct"/>
            <w:vMerge w:val="restart"/>
            <w:shd w:val="clear" w:color="auto" w:fill="E7E6E6" w:themeFill="background2"/>
            <w:textDirection w:val="btLr"/>
            <w:vAlign w:val="center"/>
          </w:tcPr>
          <w:p w14:paraId="121F5E20"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Persentage %</w:t>
            </w:r>
          </w:p>
        </w:tc>
        <w:tc>
          <w:tcPr>
            <w:tcW w:w="576" w:type="pct"/>
            <w:vMerge w:val="restart"/>
            <w:shd w:val="clear" w:color="auto" w:fill="E7E6E6" w:themeFill="background2"/>
            <w:textDirection w:val="btLr"/>
            <w:vAlign w:val="center"/>
            <w:hideMark/>
          </w:tcPr>
          <w:p w14:paraId="586AB9B4"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Parainfluenza (n=100)</w:t>
            </w:r>
          </w:p>
        </w:tc>
        <w:tc>
          <w:tcPr>
            <w:tcW w:w="506" w:type="pct"/>
            <w:vMerge w:val="restart"/>
            <w:shd w:val="clear" w:color="auto" w:fill="E7E6E6" w:themeFill="background2"/>
            <w:textDirection w:val="btLr"/>
            <w:vAlign w:val="center"/>
          </w:tcPr>
          <w:p w14:paraId="1163248E"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Persentage %</w:t>
            </w:r>
          </w:p>
        </w:tc>
        <w:tc>
          <w:tcPr>
            <w:tcW w:w="505" w:type="pct"/>
            <w:vMerge w:val="restart"/>
            <w:shd w:val="clear" w:color="auto" w:fill="E7E6E6" w:themeFill="background2"/>
            <w:textDirection w:val="btLr"/>
            <w:vAlign w:val="center"/>
            <w:hideMark/>
          </w:tcPr>
          <w:p w14:paraId="237E2039"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Rhinovirus (n=95)</w:t>
            </w:r>
          </w:p>
        </w:tc>
        <w:tc>
          <w:tcPr>
            <w:tcW w:w="505" w:type="pct"/>
            <w:vMerge w:val="restart"/>
            <w:shd w:val="clear" w:color="auto" w:fill="E7E6E6" w:themeFill="background2"/>
            <w:textDirection w:val="btLr"/>
            <w:vAlign w:val="center"/>
          </w:tcPr>
          <w:p w14:paraId="38A6ECDF"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Persentage %</w:t>
            </w:r>
          </w:p>
        </w:tc>
        <w:tc>
          <w:tcPr>
            <w:tcW w:w="435" w:type="pct"/>
            <w:vMerge w:val="restart"/>
            <w:shd w:val="clear" w:color="auto" w:fill="E7E6E6" w:themeFill="background2"/>
            <w:textDirection w:val="btLr"/>
            <w:vAlign w:val="center"/>
            <w:hideMark/>
          </w:tcPr>
          <w:p w14:paraId="76D9E965"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Control (n=50)</w:t>
            </w:r>
          </w:p>
        </w:tc>
        <w:tc>
          <w:tcPr>
            <w:tcW w:w="462" w:type="pct"/>
            <w:vMerge w:val="restart"/>
            <w:shd w:val="clear" w:color="auto" w:fill="E7E6E6" w:themeFill="background2"/>
            <w:textDirection w:val="btLr"/>
            <w:vAlign w:val="center"/>
          </w:tcPr>
          <w:p w14:paraId="20DBC559" w14:textId="77777777" w:rsidR="004A6D6C" w:rsidRPr="00AB732B" w:rsidRDefault="004A6D6C" w:rsidP="00AB732B">
            <w:pPr>
              <w:spacing w:line="240" w:lineRule="auto"/>
              <w:ind w:left="113" w:right="113"/>
              <w:jc w:val="center"/>
              <w:rPr>
                <w:rFonts w:asciiTheme="majorBidi" w:eastAsia="Times New Roman" w:hAnsiTheme="majorBidi" w:cstheme="majorBidi"/>
                <w:b/>
                <w:bCs/>
              </w:rPr>
            </w:pPr>
            <w:r w:rsidRPr="00AB732B">
              <w:rPr>
                <w:rFonts w:asciiTheme="majorBidi" w:eastAsia="Times New Roman" w:hAnsiTheme="majorBidi" w:cstheme="majorBidi"/>
                <w:b/>
                <w:bCs/>
              </w:rPr>
              <w:t>Persentage %</w:t>
            </w:r>
          </w:p>
        </w:tc>
      </w:tr>
      <w:tr w:rsidR="00AF048D" w:rsidRPr="00AB732B" w14:paraId="614E3EE1" w14:textId="77777777" w:rsidTr="008343CF">
        <w:trPr>
          <w:trHeight w:val="988"/>
          <w:jc w:val="center"/>
        </w:trPr>
        <w:tc>
          <w:tcPr>
            <w:tcW w:w="805" w:type="pct"/>
            <w:shd w:val="clear" w:color="auto" w:fill="E7E6E6" w:themeFill="background2"/>
            <w:vAlign w:val="center"/>
            <w:hideMark/>
          </w:tcPr>
          <w:p w14:paraId="5C7C6043"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Age</w:t>
            </w:r>
          </w:p>
        </w:tc>
        <w:tc>
          <w:tcPr>
            <w:tcW w:w="629" w:type="pct"/>
            <w:vMerge/>
            <w:shd w:val="clear" w:color="auto" w:fill="E7E6E6" w:themeFill="background2"/>
            <w:vAlign w:val="center"/>
            <w:hideMark/>
          </w:tcPr>
          <w:p w14:paraId="2A85CE12" w14:textId="77777777" w:rsidR="004A6D6C" w:rsidRPr="00AB732B" w:rsidRDefault="004A6D6C" w:rsidP="00AB732B">
            <w:pPr>
              <w:spacing w:line="240" w:lineRule="auto"/>
              <w:jc w:val="center"/>
              <w:rPr>
                <w:rFonts w:asciiTheme="majorBidi" w:eastAsia="Times New Roman" w:hAnsiTheme="majorBidi" w:cstheme="majorBidi"/>
                <w:b/>
                <w:bCs/>
              </w:rPr>
            </w:pPr>
          </w:p>
        </w:tc>
        <w:tc>
          <w:tcPr>
            <w:tcW w:w="576" w:type="pct"/>
            <w:vMerge/>
            <w:shd w:val="clear" w:color="auto" w:fill="E7E6E6" w:themeFill="background2"/>
            <w:vAlign w:val="center"/>
          </w:tcPr>
          <w:p w14:paraId="6A3F594F" w14:textId="77777777" w:rsidR="004A6D6C" w:rsidRPr="00AB732B" w:rsidRDefault="004A6D6C" w:rsidP="00AB732B">
            <w:pPr>
              <w:spacing w:line="240" w:lineRule="auto"/>
              <w:jc w:val="center"/>
              <w:rPr>
                <w:rFonts w:asciiTheme="majorBidi" w:eastAsia="Times New Roman" w:hAnsiTheme="majorBidi" w:cstheme="majorBidi"/>
                <w:b/>
                <w:bCs/>
              </w:rPr>
            </w:pPr>
          </w:p>
        </w:tc>
        <w:tc>
          <w:tcPr>
            <w:tcW w:w="576" w:type="pct"/>
            <w:vMerge/>
            <w:shd w:val="clear" w:color="auto" w:fill="E7E6E6" w:themeFill="background2"/>
            <w:vAlign w:val="center"/>
            <w:hideMark/>
          </w:tcPr>
          <w:p w14:paraId="1B522490" w14:textId="77777777" w:rsidR="004A6D6C" w:rsidRPr="00AB732B" w:rsidRDefault="004A6D6C" w:rsidP="00AB732B">
            <w:pPr>
              <w:spacing w:line="240" w:lineRule="auto"/>
              <w:jc w:val="center"/>
              <w:rPr>
                <w:rFonts w:asciiTheme="majorBidi" w:eastAsia="Times New Roman" w:hAnsiTheme="majorBidi" w:cstheme="majorBidi"/>
                <w:b/>
                <w:bCs/>
              </w:rPr>
            </w:pPr>
          </w:p>
        </w:tc>
        <w:tc>
          <w:tcPr>
            <w:tcW w:w="506" w:type="pct"/>
            <w:vMerge/>
            <w:shd w:val="clear" w:color="auto" w:fill="E7E6E6" w:themeFill="background2"/>
            <w:vAlign w:val="center"/>
          </w:tcPr>
          <w:p w14:paraId="39515B44" w14:textId="77777777" w:rsidR="004A6D6C" w:rsidRPr="00AB732B" w:rsidRDefault="004A6D6C" w:rsidP="00AB732B">
            <w:pPr>
              <w:spacing w:line="240" w:lineRule="auto"/>
              <w:jc w:val="center"/>
              <w:rPr>
                <w:rFonts w:asciiTheme="majorBidi" w:eastAsia="Times New Roman" w:hAnsiTheme="majorBidi" w:cstheme="majorBidi"/>
                <w:b/>
                <w:bCs/>
              </w:rPr>
            </w:pPr>
          </w:p>
        </w:tc>
        <w:tc>
          <w:tcPr>
            <w:tcW w:w="505" w:type="pct"/>
            <w:vMerge/>
            <w:shd w:val="clear" w:color="auto" w:fill="E7E6E6" w:themeFill="background2"/>
            <w:vAlign w:val="center"/>
            <w:hideMark/>
          </w:tcPr>
          <w:p w14:paraId="012706F7" w14:textId="77777777" w:rsidR="004A6D6C" w:rsidRPr="00AB732B" w:rsidRDefault="004A6D6C" w:rsidP="00AB732B">
            <w:pPr>
              <w:spacing w:line="240" w:lineRule="auto"/>
              <w:jc w:val="center"/>
              <w:rPr>
                <w:rFonts w:asciiTheme="majorBidi" w:eastAsia="Times New Roman" w:hAnsiTheme="majorBidi" w:cstheme="majorBidi"/>
                <w:b/>
                <w:bCs/>
              </w:rPr>
            </w:pPr>
          </w:p>
        </w:tc>
        <w:tc>
          <w:tcPr>
            <w:tcW w:w="505" w:type="pct"/>
            <w:vMerge/>
            <w:shd w:val="clear" w:color="auto" w:fill="E7E6E6" w:themeFill="background2"/>
            <w:vAlign w:val="center"/>
          </w:tcPr>
          <w:p w14:paraId="5142DB3D" w14:textId="77777777" w:rsidR="004A6D6C" w:rsidRPr="00AB732B" w:rsidRDefault="004A6D6C" w:rsidP="00AB732B">
            <w:pPr>
              <w:spacing w:line="240" w:lineRule="auto"/>
              <w:jc w:val="center"/>
              <w:rPr>
                <w:rFonts w:asciiTheme="majorBidi" w:eastAsia="Times New Roman" w:hAnsiTheme="majorBidi" w:cstheme="majorBidi"/>
                <w:b/>
                <w:bCs/>
              </w:rPr>
            </w:pPr>
          </w:p>
        </w:tc>
        <w:tc>
          <w:tcPr>
            <w:tcW w:w="435" w:type="pct"/>
            <w:vMerge/>
            <w:shd w:val="clear" w:color="auto" w:fill="E7E6E6" w:themeFill="background2"/>
            <w:vAlign w:val="center"/>
            <w:hideMark/>
          </w:tcPr>
          <w:p w14:paraId="0CE1A521" w14:textId="77777777" w:rsidR="004A6D6C" w:rsidRPr="00AB732B" w:rsidRDefault="004A6D6C" w:rsidP="00AB732B">
            <w:pPr>
              <w:spacing w:line="240" w:lineRule="auto"/>
              <w:jc w:val="center"/>
              <w:rPr>
                <w:rFonts w:asciiTheme="majorBidi" w:eastAsia="Times New Roman" w:hAnsiTheme="majorBidi" w:cstheme="majorBidi"/>
                <w:b/>
                <w:bCs/>
              </w:rPr>
            </w:pPr>
          </w:p>
        </w:tc>
        <w:tc>
          <w:tcPr>
            <w:tcW w:w="462" w:type="pct"/>
            <w:vMerge/>
            <w:shd w:val="clear" w:color="auto" w:fill="E7E6E6" w:themeFill="background2"/>
            <w:vAlign w:val="center"/>
          </w:tcPr>
          <w:p w14:paraId="4788AC7E" w14:textId="77777777" w:rsidR="004A6D6C" w:rsidRPr="00AB732B" w:rsidRDefault="004A6D6C" w:rsidP="00AB732B">
            <w:pPr>
              <w:spacing w:line="240" w:lineRule="auto"/>
              <w:jc w:val="center"/>
              <w:rPr>
                <w:rFonts w:asciiTheme="majorBidi" w:eastAsia="Times New Roman" w:hAnsiTheme="majorBidi" w:cstheme="majorBidi"/>
                <w:b/>
                <w:bCs/>
              </w:rPr>
            </w:pPr>
          </w:p>
        </w:tc>
      </w:tr>
      <w:tr w:rsidR="00AF048D" w:rsidRPr="00AB732B" w14:paraId="1F2EDAD4" w14:textId="77777777" w:rsidTr="00284F78">
        <w:trPr>
          <w:trHeight w:val="108"/>
          <w:jc w:val="center"/>
        </w:trPr>
        <w:tc>
          <w:tcPr>
            <w:tcW w:w="805" w:type="pct"/>
            <w:vAlign w:val="center"/>
            <w:hideMark/>
          </w:tcPr>
          <w:p w14:paraId="11CF272A"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&lt;18(years)</w:t>
            </w:r>
          </w:p>
        </w:tc>
        <w:tc>
          <w:tcPr>
            <w:tcW w:w="629" w:type="pct"/>
            <w:vAlign w:val="center"/>
            <w:hideMark/>
          </w:tcPr>
          <w:p w14:paraId="531E3F89"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28</w:t>
            </w:r>
          </w:p>
        </w:tc>
        <w:tc>
          <w:tcPr>
            <w:tcW w:w="576" w:type="pct"/>
            <w:vAlign w:val="center"/>
          </w:tcPr>
          <w:p w14:paraId="4A785D56"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24 %</w:t>
            </w:r>
          </w:p>
        </w:tc>
        <w:tc>
          <w:tcPr>
            <w:tcW w:w="576" w:type="pct"/>
            <w:vAlign w:val="center"/>
            <w:hideMark/>
          </w:tcPr>
          <w:p w14:paraId="06A17BAC"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28</w:t>
            </w:r>
          </w:p>
        </w:tc>
        <w:tc>
          <w:tcPr>
            <w:tcW w:w="506" w:type="pct"/>
            <w:vAlign w:val="center"/>
          </w:tcPr>
          <w:p w14:paraId="7C121746"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28%</w:t>
            </w:r>
          </w:p>
        </w:tc>
        <w:tc>
          <w:tcPr>
            <w:tcW w:w="505" w:type="pct"/>
            <w:vAlign w:val="center"/>
            <w:hideMark/>
          </w:tcPr>
          <w:p w14:paraId="5D13D58F"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30</w:t>
            </w:r>
          </w:p>
        </w:tc>
        <w:tc>
          <w:tcPr>
            <w:tcW w:w="505" w:type="pct"/>
            <w:vAlign w:val="center"/>
          </w:tcPr>
          <w:p w14:paraId="5CF4B5D3"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35%</w:t>
            </w:r>
          </w:p>
        </w:tc>
        <w:tc>
          <w:tcPr>
            <w:tcW w:w="435" w:type="pct"/>
            <w:vAlign w:val="center"/>
            <w:hideMark/>
          </w:tcPr>
          <w:p w14:paraId="32F0488E"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13</w:t>
            </w:r>
          </w:p>
        </w:tc>
        <w:tc>
          <w:tcPr>
            <w:tcW w:w="462" w:type="pct"/>
            <w:vAlign w:val="center"/>
          </w:tcPr>
          <w:p w14:paraId="471C2E73"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26%</w:t>
            </w:r>
          </w:p>
        </w:tc>
      </w:tr>
      <w:tr w:rsidR="00AF048D" w:rsidRPr="00AB732B" w14:paraId="7FA35CE2" w14:textId="77777777" w:rsidTr="00284F78">
        <w:trPr>
          <w:trHeight w:val="108"/>
          <w:jc w:val="center"/>
        </w:trPr>
        <w:tc>
          <w:tcPr>
            <w:tcW w:w="805" w:type="pct"/>
            <w:vAlign w:val="center"/>
            <w:hideMark/>
          </w:tcPr>
          <w:p w14:paraId="638DC3D1"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18-65(years)</w:t>
            </w:r>
          </w:p>
        </w:tc>
        <w:tc>
          <w:tcPr>
            <w:tcW w:w="629" w:type="pct"/>
            <w:vAlign w:val="center"/>
            <w:hideMark/>
          </w:tcPr>
          <w:p w14:paraId="509E09BC"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65</w:t>
            </w:r>
          </w:p>
        </w:tc>
        <w:tc>
          <w:tcPr>
            <w:tcW w:w="576" w:type="pct"/>
            <w:vAlign w:val="center"/>
          </w:tcPr>
          <w:p w14:paraId="59E83ED9"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56.5%</w:t>
            </w:r>
          </w:p>
        </w:tc>
        <w:tc>
          <w:tcPr>
            <w:tcW w:w="576" w:type="pct"/>
            <w:vAlign w:val="center"/>
            <w:hideMark/>
          </w:tcPr>
          <w:p w14:paraId="3DBFE499"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54</w:t>
            </w:r>
          </w:p>
        </w:tc>
        <w:tc>
          <w:tcPr>
            <w:tcW w:w="506" w:type="pct"/>
            <w:vAlign w:val="center"/>
          </w:tcPr>
          <w:p w14:paraId="05B18C4A"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54%</w:t>
            </w:r>
          </w:p>
        </w:tc>
        <w:tc>
          <w:tcPr>
            <w:tcW w:w="505" w:type="pct"/>
            <w:vAlign w:val="center"/>
            <w:hideMark/>
          </w:tcPr>
          <w:p w14:paraId="075FAA09"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53</w:t>
            </w:r>
          </w:p>
        </w:tc>
        <w:tc>
          <w:tcPr>
            <w:tcW w:w="505" w:type="pct"/>
            <w:vAlign w:val="center"/>
          </w:tcPr>
          <w:p w14:paraId="7C0AC2C1"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55.7%</w:t>
            </w:r>
          </w:p>
        </w:tc>
        <w:tc>
          <w:tcPr>
            <w:tcW w:w="435" w:type="pct"/>
            <w:vAlign w:val="center"/>
            <w:hideMark/>
          </w:tcPr>
          <w:p w14:paraId="43DE5BC0"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27</w:t>
            </w:r>
          </w:p>
        </w:tc>
        <w:tc>
          <w:tcPr>
            <w:tcW w:w="462" w:type="pct"/>
            <w:vAlign w:val="center"/>
          </w:tcPr>
          <w:p w14:paraId="4472B555"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54%</w:t>
            </w:r>
          </w:p>
        </w:tc>
      </w:tr>
      <w:tr w:rsidR="00AF048D" w:rsidRPr="00AB732B" w14:paraId="0959D088" w14:textId="77777777" w:rsidTr="00284F78">
        <w:trPr>
          <w:trHeight w:val="111"/>
          <w:jc w:val="center"/>
        </w:trPr>
        <w:tc>
          <w:tcPr>
            <w:tcW w:w="805" w:type="pct"/>
            <w:vAlign w:val="center"/>
            <w:hideMark/>
          </w:tcPr>
          <w:p w14:paraId="392F5698"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&gt;65(years)</w:t>
            </w:r>
          </w:p>
        </w:tc>
        <w:tc>
          <w:tcPr>
            <w:tcW w:w="629" w:type="pct"/>
            <w:vAlign w:val="center"/>
            <w:hideMark/>
          </w:tcPr>
          <w:p w14:paraId="6819CEDF"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22</w:t>
            </w:r>
          </w:p>
        </w:tc>
        <w:tc>
          <w:tcPr>
            <w:tcW w:w="576" w:type="pct"/>
            <w:vAlign w:val="center"/>
          </w:tcPr>
          <w:p w14:paraId="4122300E"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19%</w:t>
            </w:r>
          </w:p>
        </w:tc>
        <w:tc>
          <w:tcPr>
            <w:tcW w:w="576" w:type="pct"/>
            <w:vAlign w:val="center"/>
            <w:hideMark/>
          </w:tcPr>
          <w:p w14:paraId="579A6A44"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18</w:t>
            </w:r>
          </w:p>
        </w:tc>
        <w:tc>
          <w:tcPr>
            <w:tcW w:w="506" w:type="pct"/>
            <w:vAlign w:val="center"/>
          </w:tcPr>
          <w:p w14:paraId="59EBA318"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18%</w:t>
            </w:r>
          </w:p>
        </w:tc>
        <w:tc>
          <w:tcPr>
            <w:tcW w:w="505" w:type="pct"/>
            <w:vAlign w:val="center"/>
            <w:hideMark/>
          </w:tcPr>
          <w:p w14:paraId="3FDCBB3E"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17</w:t>
            </w:r>
          </w:p>
        </w:tc>
        <w:tc>
          <w:tcPr>
            <w:tcW w:w="505" w:type="pct"/>
            <w:vAlign w:val="center"/>
          </w:tcPr>
          <w:p w14:paraId="1208061A"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20%</w:t>
            </w:r>
          </w:p>
        </w:tc>
        <w:tc>
          <w:tcPr>
            <w:tcW w:w="435" w:type="pct"/>
            <w:vAlign w:val="center"/>
            <w:hideMark/>
          </w:tcPr>
          <w:p w14:paraId="58DEDF59"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10</w:t>
            </w:r>
          </w:p>
        </w:tc>
        <w:tc>
          <w:tcPr>
            <w:tcW w:w="462" w:type="pct"/>
            <w:vAlign w:val="center"/>
          </w:tcPr>
          <w:p w14:paraId="792B333E"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20%</w:t>
            </w:r>
          </w:p>
        </w:tc>
      </w:tr>
      <w:tr w:rsidR="004A6D6C" w:rsidRPr="00AB732B" w14:paraId="3492CB89" w14:textId="77777777" w:rsidTr="00284F78">
        <w:trPr>
          <w:trHeight w:val="108"/>
          <w:jc w:val="center"/>
        </w:trPr>
        <w:tc>
          <w:tcPr>
            <w:tcW w:w="5000" w:type="pct"/>
            <w:gridSpan w:val="9"/>
            <w:vAlign w:val="center"/>
            <w:hideMark/>
          </w:tcPr>
          <w:p w14:paraId="55A1A063"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Gender</w:t>
            </w:r>
          </w:p>
        </w:tc>
      </w:tr>
      <w:tr w:rsidR="00AF048D" w:rsidRPr="00AB732B" w14:paraId="31FC3EFB" w14:textId="77777777" w:rsidTr="00284F78">
        <w:trPr>
          <w:trHeight w:val="108"/>
          <w:jc w:val="center"/>
        </w:trPr>
        <w:tc>
          <w:tcPr>
            <w:tcW w:w="805" w:type="pct"/>
            <w:vAlign w:val="center"/>
            <w:hideMark/>
          </w:tcPr>
          <w:p w14:paraId="7E970AE0"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Male</w:t>
            </w:r>
          </w:p>
        </w:tc>
        <w:tc>
          <w:tcPr>
            <w:tcW w:w="629" w:type="pct"/>
            <w:vAlign w:val="center"/>
            <w:hideMark/>
          </w:tcPr>
          <w:p w14:paraId="038937DA"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63</w:t>
            </w:r>
          </w:p>
        </w:tc>
        <w:tc>
          <w:tcPr>
            <w:tcW w:w="576" w:type="pct"/>
            <w:vAlign w:val="center"/>
          </w:tcPr>
          <w:p w14:paraId="42305F11"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54.7%</w:t>
            </w:r>
          </w:p>
        </w:tc>
        <w:tc>
          <w:tcPr>
            <w:tcW w:w="576" w:type="pct"/>
            <w:vAlign w:val="center"/>
            <w:hideMark/>
          </w:tcPr>
          <w:p w14:paraId="54BBE3D8"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45</w:t>
            </w:r>
          </w:p>
        </w:tc>
        <w:tc>
          <w:tcPr>
            <w:tcW w:w="506" w:type="pct"/>
            <w:vAlign w:val="center"/>
          </w:tcPr>
          <w:p w14:paraId="4720B90C"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45%</w:t>
            </w:r>
          </w:p>
        </w:tc>
        <w:tc>
          <w:tcPr>
            <w:tcW w:w="505" w:type="pct"/>
            <w:vAlign w:val="center"/>
            <w:hideMark/>
          </w:tcPr>
          <w:p w14:paraId="4D67EA8F"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50</w:t>
            </w:r>
          </w:p>
        </w:tc>
        <w:tc>
          <w:tcPr>
            <w:tcW w:w="505" w:type="pct"/>
            <w:vAlign w:val="center"/>
          </w:tcPr>
          <w:p w14:paraId="269E4AB0"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52.6%</w:t>
            </w:r>
          </w:p>
        </w:tc>
        <w:tc>
          <w:tcPr>
            <w:tcW w:w="435" w:type="pct"/>
            <w:vAlign w:val="center"/>
            <w:hideMark/>
          </w:tcPr>
          <w:p w14:paraId="21A41A81"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25</w:t>
            </w:r>
          </w:p>
        </w:tc>
        <w:tc>
          <w:tcPr>
            <w:tcW w:w="462" w:type="pct"/>
            <w:vAlign w:val="center"/>
          </w:tcPr>
          <w:p w14:paraId="2F99952A"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50%</w:t>
            </w:r>
          </w:p>
        </w:tc>
      </w:tr>
      <w:tr w:rsidR="00AF048D" w:rsidRPr="00AB732B" w14:paraId="456FBE82" w14:textId="77777777" w:rsidTr="00284F78">
        <w:trPr>
          <w:trHeight w:val="111"/>
          <w:jc w:val="center"/>
        </w:trPr>
        <w:tc>
          <w:tcPr>
            <w:tcW w:w="805" w:type="pct"/>
            <w:vAlign w:val="center"/>
            <w:hideMark/>
          </w:tcPr>
          <w:p w14:paraId="3508EB0A" w14:textId="77777777" w:rsidR="004A6D6C" w:rsidRPr="00AB732B" w:rsidRDefault="004A6D6C" w:rsidP="00284F78">
            <w:pPr>
              <w:spacing w:line="240" w:lineRule="auto"/>
              <w:rPr>
                <w:rFonts w:asciiTheme="majorBidi" w:eastAsia="Times New Roman" w:hAnsiTheme="majorBidi" w:cstheme="majorBidi"/>
                <w:b/>
                <w:bCs/>
              </w:rPr>
            </w:pPr>
            <w:r w:rsidRPr="00AB732B">
              <w:rPr>
                <w:rFonts w:asciiTheme="majorBidi" w:eastAsia="Times New Roman" w:hAnsiTheme="majorBidi" w:cstheme="majorBidi"/>
                <w:b/>
                <w:bCs/>
              </w:rPr>
              <w:t>Female</w:t>
            </w:r>
          </w:p>
        </w:tc>
        <w:tc>
          <w:tcPr>
            <w:tcW w:w="629" w:type="pct"/>
            <w:vAlign w:val="center"/>
            <w:hideMark/>
          </w:tcPr>
          <w:p w14:paraId="322DBFE4"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52</w:t>
            </w:r>
          </w:p>
        </w:tc>
        <w:tc>
          <w:tcPr>
            <w:tcW w:w="576" w:type="pct"/>
            <w:vAlign w:val="center"/>
          </w:tcPr>
          <w:p w14:paraId="20275ED4"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45%</w:t>
            </w:r>
          </w:p>
        </w:tc>
        <w:tc>
          <w:tcPr>
            <w:tcW w:w="576" w:type="pct"/>
            <w:vAlign w:val="center"/>
            <w:hideMark/>
          </w:tcPr>
          <w:p w14:paraId="216DAC0E"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55</w:t>
            </w:r>
          </w:p>
        </w:tc>
        <w:tc>
          <w:tcPr>
            <w:tcW w:w="506" w:type="pct"/>
            <w:vAlign w:val="center"/>
          </w:tcPr>
          <w:p w14:paraId="076E620B"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55%</w:t>
            </w:r>
          </w:p>
        </w:tc>
        <w:tc>
          <w:tcPr>
            <w:tcW w:w="505" w:type="pct"/>
            <w:vAlign w:val="center"/>
            <w:hideMark/>
          </w:tcPr>
          <w:p w14:paraId="30B3E204"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40</w:t>
            </w:r>
          </w:p>
        </w:tc>
        <w:tc>
          <w:tcPr>
            <w:tcW w:w="505" w:type="pct"/>
            <w:vAlign w:val="center"/>
          </w:tcPr>
          <w:p w14:paraId="7FF278C2"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42%</w:t>
            </w:r>
          </w:p>
        </w:tc>
        <w:tc>
          <w:tcPr>
            <w:tcW w:w="435" w:type="pct"/>
            <w:vAlign w:val="center"/>
            <w:hideMark/>
          </w:tcPr>
          <w:p w14:paraId="140FAB5B"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25</w:t>
            </w:r>
          </w:p>
        </w:tc>
        <w:tc>
          <w:tcPr>
            <w:tcW w:w="462" w:type="pct"/>
            <w:vAlign w:val="center"/>
          </w:tcPr>
          <w:p w14:paraId="382D85B8" w14:textId="77777777" w:rsidR="004A6D6C" w:rsidRPr="00AB732B" w:rsidRDefault="004A6D6C" w:rsidP="00AB732B">
            <w:pPr>
              <w:spacing w:line="240" w:lineRule="auto"/>
              <w:jc w:val="center"/>
              <w:rPr>
                <w:rFonts w:asciiTheme="majorBidi" w:eastAsia="Times New Roman" w:hAnsiTheme="majorBidi" w:cstheme="majorBidi"/>
                <w:b/>
                <w:bCs/>
              </w:rPr>
            </w:pPr>
            <w:r w:rsidRPr="00AB732B">
              <w:rPr>
                <w:rFonts w:asciiTheme="majorBidi" w:eastAsia="Times New Roman" w:hAnsiTheme="majorBidi" w:cstheme="majorBidi"/>
                <w:b/>
                <w:bCs/>
              </w:rPr>
              <w:t>50%</w:t>
            </w:r>
          </w:p>
        </w:tc>
      </w:tr>
    </w:tbl>
    <w:p w14:paraId="6AEC52D2" w14:textId="77777777" w:rsidR="004A6D6C" w:rsidRPr="00893CC1" w:rsidRDefault="004A6D6C" w:rsidP="00AB732B">
      <w:pPr>
        <w:spacing w:after="0" w:line="240" w:lineRule="auto"/>
        <w:jc w:val="both"/>
        <w:rPr>
          <w:rFonts w:asciiTheme="majorBidi" w:hAnsiTheme="majorBidi" w:cstheme="majorBidi"/>
          <w:sz w:val="24"/>
          <w:szCs w:val="24"/>
          <w:lang w:val="en-US"/>
        </w:rPr>
      </w:pPr>
    </w:p>
    <w:p w14:paraId="6B4374E4" w14:textId="66D80413" w:rsidR="001A420D" w:rsidRPr="00893CC1" w:rsidRDefault="001A420D" w:rsidP="00AB732B">
      <w:pPr>
        <w:spacing w:line="240" w:lineRule="auto"/>
        <w:jc w:val="both"/>
        <w:rPr>
          <w:rFonts w:asciiTheme="majorBidi" w:hAnsiTheme="majorBidi" w:cstheme="majorBidi"/>
          <w:sz w:val="24"/>
          <w:szCs w:val="24"/>
          <w:lang w:val="en-US"/>
        </w:rPr>
        <w:sectPr w:rsidR="001A420D" w:rsidRPr="00893CC1" w:rsidSect="00B77DBC">
          <w:type w:val="continuous"/>
          <w:pgSz w:w="11906" w:h="16838"/>
          <w:pgMar w:top="1134" w:right="1134" w:bottom="1134" w:left="1134" w:header="709" w:footer="709" w:gutter="0"/>
          <w:cols w:space="454"/>
          <w:titlePg/>
          <w:docGrid w:linePitch="360"/>
        </w:sectPr>
      </w:pPr>
    </w:p>
    <w:p w14:paraId="0B7A7FAD" w14:textId="006F6FD6" w:rsidR="001A420D" w:rsidRDefault="004D751B" w:rsidP="00284F78">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4A6D6C" w:rsidRPr="00893CC1">
        <w:rPr>
          <w:rFonts w:asciiTheme="majorBidi" w:hAnsiTheme="majorBidi" w:cstheme="majorBidi"/>
          <w:sz w:val="24"/>
          <w:szCs w:val="24"/>
        </w:rPr>
        <w:t xml:space="preserve">The study results showed that the incidence of influenza infection among adults (18-65 years old) is the highest compared to other age groups, at 56.5%. This may be due to frequent community exposure at work, in transportation, and in crowded places. The incidence rate among males is also slightly higher than among females. This may be due to the same reason, as males are more likely to be in crowded places and at work. This is agree with the (Javanian </w:t>
      </w:r>
      <w:r w:rsidR="004A6D6C" w:rsidRPr="00893CC1">
        <w:rPr>
          <w:rFonts w:asciiTheme="majorBidi" w:hAnsiTheme="majorBidi" w:cstheme="majorBidi"/>
          <w:i/>
          <w:iCs/>
          <w:sz w:val="24"/>
          <w:szCs w:val="24"/>
        </w:rPr>
        <w:t>et al</w:t>
      </w:r>
      <w:r w:rsidR="004A6D6C" w:rsidRPr="00893CC1">
        <w:rPr>
          <w:rFonts w:asciiTheme="majorBidi" w:hAnsiTheme="majorBidi" w:cstheme="majorBidi"/>
          <w:sz w:val="24"/>
          <w:szCs w:val="24"/>
        </w:rPr>
        <w:t xml:space="preserve"> ., 2021)</w:t>
      </w:r>
      <w:r w:rsidR="004A6D6C" w:rsidRPr="00893CC1">
        <w:rPr>
          <w:rFonts w:asciiTheme="majorBidi" w:hAnsiTheme="majorBidi" w:cstheme="majorBidi"/>
          <w:sz w:val="24"/>
          <w:szCs w:val="24"/>
          <w:vertAlign w:val="superscript"/>
        </w:rPr>
        <w:t>8</w:t>
      </w:r>
      <w:r w:rsidR="004A6D6C" w:rsidRPr="00893CC1">
        <w:rPr>
          <w:rFonts w:asciiTheme="majorBidi" w:hAnsiTheme="majorBidi" w:cstheme="majorBidi"/>
          <w:sz w:val="24"/>
          <w:szCs w:val="24"/>
        </w:rPr>
        <w:t xml:space="preserve"> study, which indicated that adults are more susceptible to respiratory viruses such as influenza. It is also interconnected  with the (Sabikunnahar </w:t>
      </w:r>
      <w:r w:rsidR="004A6D6C" w:rsidRPr="00893CC1">
        <w:rPr>
          <w:rFonts w:asciiTheme="majorBidi" w:hAnsiTheme="majorBidi" w:cstheme="majorBidi"/>
          <w:i/>
          <w:iCs/>
          <w:sz w:val="24"/>
          <w:szCs w:val="24"/>
        </w:rPr>
        <w:t>et al</w:t>
      </w:r>
      <w:r w:rsidR="004A6D6C" w:rsidRPr="00893CC1">
        <w:rPr>
          <w:rFonts w:asciiTheme="majorBidi" w:hAnsiTheme="majorBidi" w:cstheme="majorBidi"/>
          <w:sz w:val="24"/>
          <w:szCs w:val="24"/>
        </w:rPr>
        <w:t xml:space="preserve"> ., 2022)</w:t>
      </w:r>
      <w:r w:rsidR="004A6D6C" w:rsidRPr="00893CC1">
        <w:rPr>
          <w:rFonts w:asciiTheme="majorBidi" w:hAnsiTheme="majorBidi" w:cstheme="majorBidi"/>
          <w:sz w:val="24"/>
          <w:szCs w:val="24"/>
          <w:vertAlign w:val="superscript"/>
        </w:rPr>
        <w:t>9</w:t>
      </w:r>
      <w:r w:rsidR="004A6D6C" w:rsidRPr="00893CC1">
        <w:rPr>
          <w:rFonts w:asciiTheme="majorBidi" w:hAnsiTheme="majorBidi" w:cstheme="majorBidi"/>
          <w:sz w:val="24"/>
          <w:szCs w:val="24"/>
        </w:rPr>
        <w:t xml:space="preserve"> study, which indicated that males are more susceptible to infection with the influenza virus than females. This is what the results of the current study indicate. Regarding the parainfluenza virus (PIV), the results showed that the age group (18-65 years) is the most affected, at 54%, and that women are affected at 55%. These results are consistent with the study (Kakizaki </w:t>
      </w:r>
      <w:r w:rsidR="004A6D6C" w:rsidRPr="00893CC1">
        <w:rPr>
          <w:rFonts w:asciiTheme="majorBidi" w:hAnsiTheme="majorBidi" w:cstheme="majorBidi"/>
          <w:i/>
          <w:iCs/>
          <w:sz w:val="24"/>
          <w:szCs w:val="24"/>
        </w:rPr>
        <w:t>et al</w:t>
      </w:r>
      <w:r w:rsidR="004A6D6C" w:rsidRPr="00893CC1">
        <w:rPr>
          <w:rFonts w:asciiTheme="majorBidi" w:hAnsiTheme="majorBidi" w:cstheme="majorBidi"/>
          <w:sz w:val="24"/>
          <w:szCs w:val="24"/>
        </w:rPr>
        <w:t xml:space="preserve"> ., 2022)</w:t>
      </w:r>
      <w:r w:rsidR="004A6D6C" w:rsidRPr="00893CC1">
        <w:rPr>
          <w:rFonts w:asciiTheme="majorBidi" w:hAnsiTheme="majorBidi" w:cstheme="majorBidi"/>
          <w:sz w:val="24"/>
          <w:szCs w:val="24"/>
          <w:vertAlign w:val="superscript"/>
        </w:rPr>
        <w:t>10</w:t>
      </w:r>
      <w:r w:rsidR="004A6D6C" w:rsidRPr="00893CC1">
        <w:rPr>
          <w:rFonts w:asciiTheme="majorBidi" w:hAnsiTheme="majorBidi" w:cstheme="majorBidi"/>
          <w:sz w:val="24"/>
          <w:szCs w:val="24"/>
        </w:rPr>
        <w:t xml:space="preserve">, which </w:t>
      </w:r>
      <w:r w:rsidR="004A6D6C" w:rsidRPr="00893CC1">
        <w:rPr>
          <w:rFonts w:asciiTheme="majorBidi" w:hAnsiTheme="majorBidi" w:cstheme="majorBidi"/>
          <w:sz w:val="24"/>
          <w:szCs w:val="24"/>
        </w:rPr>
        <w:t xml:space="preserve">indicated that adults are more severely infected with PIV than others, while (Bhasin </w:t>
      </w:r>
      <w:r w:rsidR="004A6D6C" w:rsidRPr="00893CC1">
        <w:rPr>
          <w:rFonts w:asciiTheme="majorBidi" w:hAnsiTheme="majorBidi" w:cstheme="majorBidi"/>
          <w:i/>
          <w:iCs/>
          <w:sz w:val="24"/>
          <w:szCs w:val="24"/>
        </w:rPr>
        <w:t>et al</w:t>
      </w:r>
      <w:r w:rsidR="004A6D6C" w:rsidRPr="00893CC1">
        <w:rPr>
          <w:rFonts w:asciiTheme="majorBidi" w:hAnsiTheme="majorBidi" w:cstheme="majorBidi"/>
          <w:sz w:val="24"/>
          <w:szCs w:val="24"/>
        </w:rPr>
        <w:t xml:space="preserve"> ., 2024)</w:t>
      </w:r>
      <w:r w:rsidR="004A6D6C" w:rsidRPr="00893CC1">
        <w:rPr>
          <w:rFonts w:asciiTheme="majorBidi" w:hAnsiTheme="majorBidi" w:cstheme="majorBidi"/>
          <w:sz w:val="24"/>
          <w:szCs w:val="24"/>
          <w:vertAlign w:val="superscript"/>
        </w:rPr>
        <w:t>11</w:t>
      </w:r>
      <w:r w:rsidR="004A6D6C" w:rsidRPr="00893CC1">
        <w:rPr>
          <w:rFonts w:asciiTheme="majorBidi" w:hAnsiTheme="majorBidi" w:cstheme="majorBidi"/>
          <w:sz w:val="24"/>
          <w:szCs w:val="24"/>
        </w:rPr>
        <w:t xml:space="preserve"> show that women are more likely to be hospitalized with severe PIV infections than others. The results showed that rhinovirus is more prevalent among children (&lt;18 years of age), at 35%, due to their lack of immunity and frequent exposure due to their presence in nurseries and schools. Males are more likely to be infected (52.6%), which may be related to genetic and hormonal factors. This is Associated with studies by (Vandini </w:t>
      </w:r>
      <w:r w:rsidR="004A6D6C" w:rsidRPr="00893CC1">
        <w:rPr>
          <w:rFonts w:asciiTheme="majorBidi" w:hAnsiTheme="majorBidi" w:cstheme="majorBidi"/>
          <w:i/>
          <w:iCs/>
          <w:sz w:val="24"/>
          <w:szCs w:val="24"/>
        </w:rPr>
        <w:t>et al .,</w:t>
      </w:r>
      <w:r w:rsidR="004A6D6C" w:rsidRPr="00893CC1">
        <w:rPr>
          <w:rFonts w:asciiTheme="majorBidi" w:hAnsiTheme="majorBidi" w:cstheme="majorBidi"/>
          <w:sz w:val="24"/>
          <w:szCs w:val="24"/>
        </w:rPr>
        <w:t>2019)</w:t>
      </w:r>
      <w:r w:rsidR="004A6D6C" w:rsidRPr="00893CC1">
        <w:rPr>
          <w:rFonts w:asciiTheme="majorBidi" w:hAnsiTheme="majorBidi" w:cstheme="majorBidi"/>
          <w:sz w:val="24"/>
          <w:szCs w:val="24"/>
          <w:vertAlign w:val="superscript"/>
        </w:rPr>
        <w:t>12</w:t>
      </w:r>
      <w:r w:rsidR="004A6D6C" w:rsidRPr="00893CC1">
        <w:rPr>
          <w:rFonts w:asciiTheme="majorBidi" w:hAnsiTheme="majorBidi" w:cstheme="majorBidi"/>
          <w:sz w:val="24"/>
          <w:szCs w:val="24"/>
        </w:rPr>
        <w:t xml:space="preserve"> and (Boon </w:t>
      </w:r>
      <w:r w:rsidR="004A6D6C" w:rsidRPr="00893CC1">
        <w:rPr>
          <w:rFonts w:asciiTheme="majorBidi" w:hAnsiTheme="majorBidi" w:cstheme="majorBidi"/>
          <w:i/>
          <w:iCs/>
          <w:sz w:val="24"/>
          <w:szCs w:val="24"/>
        </w:rPr>
        <w:t>et al .,</w:t>
      </w:r>
      <w:r w:rsidR="004A6D6C" w:rsidRPr="00893CC1">
        <w:rPr>
          <w:rFonts w:asciiTheme="majorBidi" w:hAnsiTheme="majorBidi" w:cstheme="majorBidi"/>
          <w:sz w:val="24"/>
          <w:szCs w:val="24"/>
        </w:rPr>
        <w:t>2024)</w:t>
      </w:r>
      <w:r w:rsidR="004A6D6C" w:rsidRPr="00893CC1">
        <w:rPr>
          <w:rFonts w:asciiTheme="majorBidi" w:hAnsiTheme="majorBidi" w:cstheme="majorBidi"/>
          <w:sz w:val="24"/>
          <w:szCs w:val="24"/>
          <w:vertAlign w:val="superscript"/>
        </w:rPr>
        <w:t>13</w:t>
      </w:r>
      <w:r w:rsidR="004A6D6C" w:rsidRPr="00893CC1">
        <w:rPr>
          <w:rFonts w:asciiTheme="majorBidi" w:hAnsiTheme="majorBidi" w:cstheme="majorBidi"/>
          <w:sz w:val="24"/>
          <w:szCs w:val="24"/>
        </w:rPr>
        <w:t xml:space="preserve">. Both studies indicated that children are more susceptible to rhinovirus infection, and that males are more likely to develop severe infection.  Each virus has a distinct infection pattern based on age and sex, which may help predict the groups most at risk for each type. </w:t>
      </w:r>
      <w:r w:rsidR="00284F78">
        <w:rPr>
          <w:rFonts w:asciiTheme="majorBidi" w:hAnsiTheme="majorBidi" w:cstheme="majorBidi"/>
          <w:sz w:val="24"/>
          <w:szCs w:val="24"/>
          <w:lang w:val="en-US"/>
        </w:rPr>
        <w:t xml:space="preserve"> </w:t>
      </w:r>
      <w:r w:rsidR="00140DC1" w:rsidRPr="00140DC1">
        <w:rPr>
          <w:rFonts w:asciiTheme="majorBidi" w:hAnsiTheme="majorBidi" w:cstheme="majorBidi"/>
          <w:b/>
          <w:bCs/>
          <w:sz w:val="24"/>
          <w:szCs w:val="24"/>
          <w:lang w:val="en-US"/>
        </w:rPr>
        <w:t>Figure 1.</w:t>
      </w:r>
    </w:p>
    <w:p w14:paraId="1129C519" w14:textId="77777777" w:rsidR="004D751B" w:rsidRDefault="004D751B" w:rsidP="00284F78">
      <w:pPr>
        <w:jc w:val="both"/>
        <w:rPr>
          <w:rFonts w:asciiTheme="majorBidi" w:hAnsiTheme="majorBidi" w:cstheme="majorBidi"/>
          <w:sz w:val="24"/>
          <w:szCs w:val="24"/>
          <w:lang w:val="en-US"/>
        </w:rPr>
      </w:pPr>
    </w:p>
    <w:p w14:paraId="0A7B1984" w14:textId="77777777" w:rsidR="004D751B" w:rsidRDefault="004D751B" w:rsidP="00284F78">
      <w:pPr>
        <w:jc w:val="both"/>
        <w:rPr>
          <w:rFonts w:asciiTheme="majorBidi" w:hAnsiTheme="majorBidi" w:cstheme="majorBidi"/>
          <w:sz w:val="24"/>
          <w:szCs w:val="24"/>
          <w:lang w:val="en-US"/>
        </w:rPr>
      </w:pPr>
    </w:p>
    <w:p w14:paraId="0A94BB9E" w14:textId="77777777" w:rsidR="004D751B" w:rsidRDefault="004D751B" w:rsidP="00284F78">
      <w:pPr>
        <w:jc w:val="both"/>
        <w:rPr>
          <w:rFonts w:asciiTheme="majorBidi" w:hAnsiTheme="majorBidi" w:cstheme="majorBidi"/>
          <w:sz w:val="24"/>
          <w:szCs w:val="24"/>
          <w:lang w:val="en-US"/>
        </w:rPr>
      </w:pPr>
    </w:p>
    <w:p w14:paraId="0FC1997B" w14:textId="7EF4B985" w:rsidR="00D6660E" w:rsidRDefault="00D6660E" w:rsidP="00284F78">
      <w:pPr>
        <w:jc w:val="both"/>
        <w:rPr>
          <w:rFonts w:asciiTheme="majorBidi" w:hAnsiTheme="majorBidi" w:cstheme="majorBidi"/>
          <w:sz w:val="24"/>
          <w:szCs w:val="24"/>
          <w:lang w:val="en-US"/>
        </w:rPr>
        <w:sectPr w:rsidR="00D6660E" w:rsidSect="004D751B">
          <w:type w:val="continuous"/>
          <w:pgSz w:w="11906" w:h="16838"/>
          <w:pgMar w:top="1134" w:right="1134" w:bottom="1134" w:left="1134" w:header="709" w:footer="709" w:gutter="0"/>
          <w:cols w:num="2" w:space="454"/>
          <w:titlePg/>
          <w:docGrid w:linePitch="360"/>
        </w:sectPr>
      </w:pPr>
    </w:p>
    <w:p w14:paraId="07006966" w14:textId="02A01908" w:rsidR="004A6D6C" w:rsidRPr="00893CC1" w:rsidRDefault="001A420D" w:rsidP="00AB732B">
      <w:pPr>
        <w:spacing w:after="0" w:line="240" w:lineRule="auto"/>
        <w:jc w:val="both"/>
        <w:rPr>
          <w:rFonts w:asciiTheme="majorBidi" w:hAnsiTheme="majorBidi" w:cstheme="majorBidi"/>
          <w:sz w:val="24"/>
          <w:szCs w:val="24"/>
          <w:lang w:val="en-US"/>
        </w:rPr>
      </w:pPr>
      <w:r w:rsidRPr="00893CC1">
        <w:rPr>
          <w:rFonts w:asciiTheme="majorBidi" w:hAnsiTheme="majorBidi" w:cstheme="majorBidi"/>
          <w:noProof/>
          <w:sz w:val="24"/>
          <w:szCs w:val="24"/>
          <w:rtl/>
          <w:lang w:val="en-US"/>
        </w:rPr>
        <mc:AlternateContent>
          <mc:Choice Requires="wps">
            <w:drawing>
              <wp:anchor distT="0" distB="0" distL="114300" distR="114300" simplePos="0" relativeHeight="251659264" behindDoc="0" locked="0" layoutInCell="1" allowOverlap="1" wp14:anchorId="099C8305" wp14:editId="448AC2B0">
                <wp:simplePos x="0" y="0"/>
                <wp:positionH relativeFrom="column">
                  <wp:align>center</wp:align>
                </wp:positionH>
                <wp:positionV relativeFrom="paragraph">
                  <wp:posOffset>0</wp:posOffset>
                </wp:positionV>
                <wp:extent cx="5769610" cy="3000375"/>
                <wp:effectExtent l="0" t="0" r="2540" b="9525"/>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69610" cy="3000375"/>
                        </a:xfrm>
                        <a:prstGeom prst="rect">
                          <a:avLst/>
                        </a:prstGeom>
                        <a:solidFill>
                          <a:srgbClr val="FFFFFF"/>
                        </a:solidFill>
                        <a:ln w="9525">
                          <a:noFill/>
                          <a:miter lim="800000"/>
                          <a:headEnd/>
                          <a:tailEnd/>
                        </a:ln>
                      </wps:spPr>
                      <wps:txbx>
                        <w:txbxContent>
                          <w:p w14:paraId="0CE1C65C" w14:textId="77777777" w:rsidR="009E4EBF" w:rsidRPr="00AF048D" w:rsidRDefault="009E4EBF" w:rsidP="00284F78">
                            <w:pPr>
                              <w:jc w:val="center"/>
                              <w:rPr>
                                <w:sz w:val="18"/>
                                <w:szCs w:val="18"/>
                              </w:rPr>
                            </w:pPr>
                            <w:r w:rsidRPr="00AF048D">
                              <w:rPr>
                                <w:rFonts w:asciiTheme="majorBidi" w:hAnsiTheme="majorBidi" w:cstheme="majorBidi"/>
                                <w:b/>
                                <w:bCs/>
                                <w:noProof/>
                                <w:lang w:val="en-US"/>
                              </w:rPr>
                              <w:drawing>
                                <wp:inline distT="0" distB="0" distL="0" distR="0" wp14:anchorId="6BE4A5FA" wp14:editId="2F8E90BB">
                                  <wp:extent cx="5610225" cy="2838450"/>
                                  <wp:effectExtent l="0" t="0" r="9525" b="1905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C8305" id="_x0000_t202" coordsize="21600,21600" o:spt="202" path="m,l,21600r21600,l21600,xe">
                <v:stroke joinstyle="miter"/>
                <v:path gradientshapeok="t" o:connecttype="rect"/>
              </v:shapetype>
              <v:shape id="مربع نص 2" o:spid="_x0000_s1026" type="#_x0000_t202" style="position:absolute;left:0;text-align:left;margin-left:0;margin-top:0;width:454.3pt;height:236.25pt;flip:x;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" stroked="f">
                <v:textbox>
                  <w:txbxContent>
                    <w:p w14:paraId="0CE1C65C" w14:textId="77777777" w:rsidR="009E4EBF" w:rsidRPr="00AF048D" w:rsidRDefault="009E4EBF" w:rsidP="00284F78">
                      <w:pPr>
                        <w:jc w:val="center"/>
                        <w:rPr>
                          <w:sz w:val="18"/>
                          <w:szCs w:val="18"/>
                        </w:rPr>
                      </w:pPr>
                      <w:r w:rsidRPr="00AF048D">
                        <w:rPr>
                          <w:rFonts w:asciiTheme="majorBidi" w:hAnsiTheme="majorBidi" w:cstheme="majorBidi"/>
                          <w:b/>
                          <w:bCs/>
                          <w:noProof/>
                          <w:lang w:val="en-US"/>
                        </w:rPr>
                        <w:drawing>
                          <wp:inline distT="0" distB="0" distL="0" distR="0" wp14:anchorId="6BE4A5FA" wp14:editId="2F8E90BB">
                            <wp:extent cx="5610225" cy="2838450"/>
                            <wp:effectExtent l="0" t="0" r="9525" b="1905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xbxContent>
                </v:textbox>
              </v:shape>
            </w:pict>
          </mc:Fallback>
        </mc:AlternateContent>
      </w:r>
    </w:p>
    <w:p w14:paraId="35D81D1C" w14:textId="2690231F" w:rsidR="004A6D6C" w:rsidRPr="00893CC1" w:rsidRDefault="004A6D6C" w:rsidP="00AB732B">
      <w:pPr>
        <w:spacing w:after="0" w:line="240" w:lineRule="auto"/>
        <w:jc w:val="both"/>
        <w:rPr>
          <w:rFonts w:asciiTheme="majorBidi" w:hAnsiTheme="majorBidi" w:cstheme="majorBidi"/>
          <w:sz w:val="24"/>
          <w:szCs w:val="24"/>
          <w:rtl/>
        </w:rPr>
      </w:pPr>
    </w:p>
    <w:p w14:paraId="3EE197B5" w14:textId="77777777" w:rsidR="004A6D6C" w:rsidRPr="00893CC1" w:rsidRDefault="004A6D6C" w:rsidP="00AB732B">
      <w:pPr>
        <w:spacing w:line="360" w:lineRule="auto"/>
        <w:jc w:val="both"/>
        <w:rPr>
          <w:rFonts w:asciiTheme="majorBidi" w:hAnsiTheme="majorBidi" w:cstheme="majorBidi"/>
          <w:sz w:val="24"/>
          <w:szCs w:val="24"/>
        </w:rPr>
      </w:pPr>
    </w:p>
    <w:p w14:paraId="6F85E11A" w14:textId="77777777" w:rsidR="004A6D6C" w:rsidRPr="00893CC1" w:rsidRDefault="004A6D6C" w:rsidP="00AB732B">
      <w:pPr>
        <w:spacing w:line="360" w:lineRule="auto"/>
        <w:jc w:val="both"/>
        <w:rPr>
          <w:rFonts w:asciiTheme="majorBidi" w:hAnsiTheme="majorBidi" w:cstheme="majorBidi"/>
          <w:sz w:val="24"/>
          <w:szCs w:val="24"/>
        </w:rPr>
      </w:pPr>
    </w:p>
    <w:p w14:paraId="7E19A74A" w14:textId="77777777" w:rsidR="004A6D6C" w:rsidRPr="00893CC1" w:rsidRDefault="004A6D6C" w:rsidP="00AB732B">
      <w:pPr>
        <w:spacing w:line="360" w:lineRule="auto"/>
        <w:jc w:val="both"/>
        <w:rPr>
          <w:rFonts w:asciiTheme="majorBidi" w:hAnsiTheme="majorBidi" w:cstheme="majorBidi"/>
          <w:sz w:val="24"/>
          <w:szCs w:val="24"/>
        </w:rPr>
      </w:pPr>
    </w:p>
    <w:p w14:paraId="3933C409" w14:textId="77777777" w:rsidR="004A6D6C" w:rsidRPr="00893CC1" w:rsidRDefault="004A6D6C" w:rsidP="00AB732B">
      <w:pPr>
        <w:spacing w:line="360" w:lineRule="auto"/>
        <w:jc w:val="both"/>
        <w:rPr>
          <w:rFonts w:asciiTheme="majorBidi" w:hAnsiTheme="majorBidi" w:cstheme="majorBidi"/>
          <w:sz w:val="24"/>
          <w:szCs w:val="24"/>
        </w:rPr>
      </w:pPr>
    </w:p>
    <w:p w14:paraId="6F958BCC" w14:textId="77777777" w:rsidR="00A269B7" w:rsidRDefault="00A269B7" w:rsidP="00284F78">
      <w:pPr>
        <w:spacing w:after="0" w:line="240" w:lineRule="auto"/>
        <w:rPr>
          <w:rFonts w:asciiTheme="majorBidi" w:hAnsiTheme="majorBidi" w:cstheme="majorBidi"/>
          <w:sz w:val="24"/>
          <w:szCs w:val="24"/>
          <w:lang w:val="en-US"/>
        </w:rPr>
      </w:pPr>
    </w:p>
    <w:p w14:paraId="5A31AE17" w14:textId="77777777" w:rsidR="00284F78" w:rsidRDefault="00284F78" w:rsidP="00284F78">
      <w:pPr>
        <w:spacing w:after="0" w:line="240" w:lineRule="auto"/>
        <w:rPr>
          <w:rFonts w:asciiTheme="majorBidi" w:hAnsiTheme="majorBidi" w:cstheme="majorBidi"/>
          <w:sz w:val="24"/>
          <w:szCs w:val="24"/>
          <w:lang w:val="en-US"/>
        </w:rPr>
      </w:pPr>
    </w:p>
    <w:p w14:paraId="3EF09A79" w14:textId="77777777" w:rsidR="00284F78" w:rsidRPr="00284F78" w:rsidRDefault="00284F78" w:rsidP="00284F78">
      <w:pPr>
        <w:spacing w:after="0" w:line="240" w:lineRule="auto"/>
        <w:rPr>
          <w:rFonts w:asciiTheme="majorBidi" w:hAnsiTheme="majorBidi" w:cstheme="majorBidi"/>
          <w:b/>
          <w:bCs/>
          <w:sz w:val="24"/>
          <w:szCs w:val="24"/>
          <w:lang w:val="en-US"/>
        </w:rPr>
      </w:pPr>
    </w:p>
    <w:p w14:paraId="5720F5F6" w14:textId="77777777" w:rsidR="00A269B7" w:rsidRPr="00AF048D" w:rsidRDefault="00A269B7" w:rsidP="00AB732B">
      <w:pPr>
        <w:spacing w:after="0" w:line="240" w:lineRule="auto"/>
        <w:jc w:val="center"/>
        <w:rPr>
          <w:rFonts w:asciiTheme="majorBidi" w:hAnsiTheme="majorBidi" w:cstheme="majorBidi"/>
          <w:b/>
          <w:bCs/>
          <w:sz w:val="4"/>
          <w:szCs w:val="4"/>
          <w:lang w:val="en-US"/>
        </w:rPr>
      </w:pPr>
    </w:p>
    <w:p w14:paraId="7148B3EB" w14:textId="77777777" w:rsidR="004D751B" w:rsidRDefault="004D751B" w:rsidP="00AB732B">
      <w:pPr>
        <w:spacing w:after="0" w:line="240" w:lineRule="auto"/>
        <w:jc w:val="center"/>
        <w:rPr>
          <w:rFonts w:asciiTheme="majorBidi" w:hAnsiTheme="majorBidi" w:cstheme="majorBidi"/>
          <w:b/>
          <w:bCs/>
          <w:sz w:val="24"/>
          <w:szCs w:val="24"/>
          <w:lang w:val="en-US"/>
        </w:rPr>
      </w:pPr>
    </w:p>
    <w:p w14:paraId="0D2B3F07" w14:textId="77777777" w:rsidR="004D751B" w:rsidRDefault="004D751B" w:rsidP="00AB732B">
      <w:pPr>
        <w:spacing w:after="0" w:line="240" w:lineRule="auto"/>
        <w:jc w:val="center"/>
        <w:rPr>
          <w:rFonts w:asciiTheme="majorBidi" w:hAnsiTheme="majorBidi" w:cstheme="majorBidi"/>
          <w:b/>
          <w:bCs/>
          <w:sz w:val="24"/>
          <w:szCs w:val="24"/>
          <w:lang w:val="en-US"/>
        </w:rPr>
      </w:pPr>
    </w:p>
    <w:p w14:paraId="4EC9ED68" w14:textId="77777777" w:rsidR="00D6660E" w:rsidRDefault="00D6660E" w:rsidP="00AB732B">
      <w:pPr>
        <w:spacing w:after="0" w:line="240" w:lineRule="auto"/>
        <w:jc w:val="center"/>
        <w:rPr>
          <w:rFonts w:asciiTheme="majorBidi" w:hAnsiTheme="majorBidi" w:cstheme="majorBidi"/>
          <w:b/>
          <w:bCs/>
          <w:sz w:val="24"/>
          <w:szCs w:val="24"/>
        </w:rPr>
      </w:pPr>
    </w:p>
    <w:p w14:paraId="340ECC75" w14:textId="77706A13" w:rsidR="004A6D6C" w:rsidRPr="00893CC1" w:rsidRDefault="004A6D6C" w:rsidP="00AB732B">
      <w:pPr>
        <w:spacing w:after="0" w:line="240" w:lineRule="auto"/>
        <w:jc w:val="center"/>
        <w:rPr>
          <w:rFonts w:asciiTheme="majorBidi" w:hAnsiTheme="majorBidi" w:cstheme="majorBidi"/>
          <w:b/>
          <w:bCs/>
          <w:sz w:val="24"/>
          <w:szCs w:val="24"/>
          <w:lang w:val="en-US"/>
        </w:rPr>
      </w:pPr>
      <w:r w:rsidRPr="00893CC1">
        <w:rPr>
          <w:rFonts w:asciiTheme="majorBidi" w:hAnsiTheme="majorBidi" w:cstheme="majorBidi"/>
          <w:b/>
          <w:bCs/>
          <w:sz w:val="24"/>
          <w:szCs w:val="24"/>
        </w:rPr>
        <w:t>Figure</w:t>
      </w:r>
      <w:r w:rsidR="00D6660E">
        <w:rPr>
          <w:rFonts w:asciiTheme="majorBidi" w:hAnsiTheme="majorBidi" w:cstheme="majorBidi"/>
          <w:b/>
          <w:bCs/>
          <w:sz w:val="24"/>
          <w:szCs w:val="24"/>
          <w:lang w:val="en-US"/>
        </w:rPr>
        <w:t xml:space="preserve"> </w:t>
      </w:r>
      <w:r w:rsidRPr="00893CC1">
        <w:rPr>
          <w:rFonts w:asciiTheme="majorBidi" w:hAnsiTheme="majorBidi" w:cstheme="majorBidi"/>
          <w:b/>
          <w:bCs/>
          <w:sz w:val="24"/>
          <w:szCs w:val="24"/>
        </w:rPr>
        <w:t xml:space="preserve">1: </w:t>
      </w:r>
      <w:r w:rsidR="00D6660E">
        <w:rPr>
          <w:rFonts w:asciiTheme="majorBidi" w:hAnsiTheme="majorBidi" w:cstheme="majorBidi"/>
          <w:b/>
          <w:bCs/>
          <w:sz w:val="24"/>
          <w:szCs w:val="24"/>
          <w:lang w:val="en-US"/>
        </w:rPr>
        <w:t>D</w:t>
      </w:r>
      <w:r w:rsidRPr="00893CC1">
        <w:rPr>
          <w:rFonts w:asciiTheme="majorBidi" w:hAnsiTheme="majorBidi" w:cstheme="majorBidi"/>
          <w:b/>
          <w:bCs/>
          <w:sz w:val="24"/>
          <w:szCs w:val="24"/>
        </w:rPr>
        <w:t>istribution of samples according to age and gender.</w:t>
      </w:r>
    </w:p>
    <w:p w14:paraId="58E010A3" w14:textId="77777777" w:rsidR="004A6D6C" w:rsidRPr="00AF048D" w:rsidRDefault="004A6D6C" w:rsidP="00AB732B">
      <w:pPr>
        <w:spacing w:after="0"/>
        <w:jc w:val="center"/>
        <w:rPr>
          <w:rFonts w:asciiTheme="majorBidi" w:hAnsiTheme="majorBidi" w:cstheme="majorBidi"/>
          <w:sz w:val="18"/>
          <w:szCs w:val="18"/>
          <w:lang w:val="en-US"/>
        </w:rPr>
      </w:pPr>
    </w:p>
    <w:p w14:paraId="060714D9" w14:textId="15435408" w:rsidR="00D72B40" w:rsidRPr="00893CC1" w:rsidRDefault="00D72B40" w:rsidP="00AB732B">
      <w:pPr>
        <w:jc w:val="both"/>
        <w:rPr>
          <w:rFonts w:asciiTheme="majorBidi" w:hAnsiTheme="majorBidi" w:cstheme="majorBidi"/>
          <w:sz w:val="24"/>
          <w:szCs w:val="24"/>
          <w:lang w:val="en-US"/>
        </w:rPr>
        <w:sectPr w:rsidR="00D72B40" w:rsidRPr="00893CC1" w:rsidSect="00B77DBC">
          <w:type w:val="continuous"/>
          <w:pgSz w:w="11906" w:h="16838"/>
          <w:pgMar w:top="1134" w:right="1134" w:bottom="1134" w:left="1134" w:header="709" w:footer="709" w:gutter="0"/>
          <w:cols w:space="454"/>
          <w:titlePg/>
          <w:docGrid w:linePitch="360"/>
        </w:sectPr>
      </w:pPr>
    </w:p>
    <w:p w14:paraId="4096734B" w14:textId="2EA26452" w:rsidR="004D751B" w:rsidRPr="004D751B" w:rsidRDefault="00D72B40" w:rsidP="004D751B">
      <w:pPr>
        <w:jc w:val="both"/>
        <w:rPr>
          <w:rFonts w:asciiTheme="majorBidi" w:hAnsiTheme="majorBidi" w:cstheme="majorBidi"/>
          <w:sz w:val="24"/>
          <w:szCs w:val="24"/>
          <w:lang w:val="en-US"/>
        </w:rPr>
      </w:pPr>
      <w:r w:rsidRPr="00893CC1">
        <w:rPr>
          <w:rFonts w:asciiTheme="majorBidi" w:hAnsiTheme="majorBidi" w:cstheme="majorBidi"/>
          <w:sz w:val="24"/>
          <w:szCs w:val="24"/>
          <w:lang w:val="en-US"/>
        </w:rPr>
        <w:t xml:space="preserve">       </w:t>
      </w:r>
      <w:r w:rsidR="004A6D6C" w:rsidRPr="00893CC1">
        <w:rPr>
          <w:rFonts w:asciiTheme="majorBidi" w:hAnsiTheme="majorBidi" w:cstheme="majorBidi"/>
          <w:sz w:val="24"/>
          <w:szCs w:val="24"/>
        </w:rPr>
        <w:t>The three viruses were diagnosed by measuring IgM levels using the VIDS technique according to age groups. The results showed that the highest levels of IgM against the influenza virus were in the elderly (&gt;65 years old) (4.2 ± 0.8). This may be due to the fact that the influenza virus, due to the rapid change in its antigens, induces a strong immune response each time. This is contrary to studies (Kikkert, M.2020)</w:t>
      </w:r>
      <w:r w:rsidR="004A6D6C" w:rsidRPr="00893CC1">
        <w:rPr>
          <w:rFonts w:asciiTheme="majorBidi" w:hAnsiTheme="majorBidi" w:cstheme="majorBidi"/>
          <w:sz w:val="24"/>
          <w:szCs w:val="24"/>
          <w:vertAlign w:val="superscript"/>
        </w:rPr>
        <w:t>14</w:t>
      </w:r>
      <w:r w:rsidR="004A6D6C" w:rsidRPr="00893CC1">
        <w:rPr>
          <w:rFonts w:asciiTheme="majorBidi" w:hAnsiTheme="majorBidi" w:cstheme="majorBidi"/>
          <w:sz w:val="24"/>
          <w:szCs w:val="24"/>
        </w:rPr>
        <w:t xml:space="preserve"> that indicate respiratory infections have a weaker response in the elderly due to repeated viral exposure, as the influenza virus has the ability to constantly change.</w:t>
      </w:r>
      <w:r w:rsidR="004D751B" w:rsidRPr="004D751B">
        <w:rPr>
          <w:rFonts w:asciiTheme="majorBidi" w:eastAsia="Times New Roman" w:hAnsiTheme="majorBidi" w:cstheme="majorBidi"/>
          <w:b/>
          <w:bCs/>
          <w:color w:val="404040"/>
          <w:sz w:val="24"/>
          <w:szCs w:val="24"/>
        </w:rPr>
        <w:t xml:space="preserve"> </w:t>
      </w:r>
      <w:r w:rsidR="004D751B" w:rsidRPr="00A86443">
        <w:rPr>
          <w:rFonts w:asciiTheme="majorBidi" w:eastAsia="Times New Roman" w:hAnsiTheme="majorBidi" w:cstheme="majorBidi"/>
          <w:b/>
          <w:bCs/>
          <w:color w:val="404040"/>
          <w:sz w:val="24"/>
          <w:szCs w:val="24"/>
        </w:rPr>
        <w:t>Table 2</w:t>
      </w:r>
      <w:r w:rsidR="004D751B">
        <w:rPr>
          <w:rFonts w:asciiTheme="majorBidi" w:eastAsia="Times New Roman" w:hAnsiTheme="majorBidi" w:cstheme="majorBidi"/>
          <w:b/>
          <w:bCs/>
          <w:color w:val="404040"/>
          <w:sz w:val="24"/>
          <w:szCs w:val="24"/>
          <w:lang w:val="en-US"/>
        </w:rPr>
        <w:t>.</w:t>
      </w:r>
    </w:p>
    <w:p w14:paraId="20354E89" w14:textId="1C20A6B2" w:rsidR="004D751B" w:rsidRPr="004D751B" w:rsidRDefault="004D751B" w:rsidP="004D751B">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A86443">
        <w:rPr>
          <w:rFonts w:asciiTheme="majorBidi" w:hAnsiTheme="majorBidi" w:cstheme="majorBidi"/>
          <w:sz w:val="24"/>
          <w:szCs w:val="24"/>
        </w:rPr>
        <w:t xml:space="preserve">This is consistent with the study (Ackerson </w:t>
      </w:r>
      <w:r w:rsidRPr="00A86443">
        <w:rPr>
          <w:rFonts w:asciiTheme="majorBidi" w:hAnsiTheme="majorBidi" w:cstheme="majorBidi"/>
          <w:i/>
          <w:iCs/>
          <w:sz w:val="24"/>
          <w:szCs w:val="24"/>
        </w:rPr>
        <w:t>et al,</w:t>
      </w:r>
      <w:r w:rsidRPr="00A86443">
        <w:rPr>
          <w:rFonts w:asciiTheme="majorBidi" w:hAnsiTheme="majorBidi" w:cstheme="majorBidi"/>
          <w:sz w:val="24"/>
          <w:szCs w:val="24"/>
        </w:rPr>
        <w:t xml:space="preserve"> 2019)</w:t>
      </w:r>
      <w:r w:rsidRPr="00A86443">
        <w:rPr>
          <w:rFonts w:asciiTheme="majorBidi" w:hAnsiTheme="majorBidi" w:cstheme="majorBidi"/>
          <w:sz w:val="24"/>
          <w:szCs w:val="24"/>
          <w:vertAlign w:val="superscript"/>
        </w:rPr>
        <w:t>15</w:t>
      </w:r>
      <w:r w:rsidRPr="00A86443">
        <w:rPr>
          <w:rFonts w:asciiTheme="majorBidi" w:hAnsiTheme="majorBidi" w:cstheme="majorBidi"/>
          <w:sz w:val="24"/>
          <w:szCs w:val="24"/>
        </w:rPr>
        <w:t>. Statistically, it showed highly significant differences (</w:t>
      </w:r>
      <w:r w:rsidRPr="00A86443">
        <w:rPr>
          <w:rFonts w:asciiTheme="majorBidi" w:hAnsiTheme="majorBidi" w:cstheme="majorBidi"/>
          <w:i/>
          <w:iCs/>
          <w:sz w:val="24"/>
          <w:szCs w:val="24"/>
        </w:rPr>
        <w:t>p</w:t>
      </w:r>
      <w:r w:rsidRPr="00A86443">
        <w:rPr>
          <w:rFonts w:asciiTheme="majorBidi" w:hAnsiTheme="majorBidi" w:cstheme="majorBidi"/>
          <w:sz w:val="24"/>
          <w:szCs w:val="24"/>
        </w:rPr>
        <w:t xml:space="preserve"> &lt;0.01) compared to the control groups.  IgM levels were elevated for the parainfluenza virus, but to a lower degree than for the influenza virus, in the (18-65) age group (3.9 ± 0.6), indicating an efficient immune response in this age group. This contradicts the ( Nikolich-Zugich </w:t>
      </w:r>
      <w:r w:rsidRPr="00A86443">
        <w:rPr>
          <w:rFonts w:asciiTheme="majorBidi" w:hAnsiTheme="majorBidi" w:cstheme="majorBidi"/>
          <w:i/>
          <w:iCs/>
          <w:sz w:val="24"/>
          <w:szCs w:val="24"/>
        </w:rPr>
        <w:t>et al.,</w:t>
      </w:r>
      <w:r w:rsidRPr="00A86443">
        <w:rPr>
          <w:rFonts w:asciiTheme="majorBidi" w:hAnsiTheme="majorBidi" w:cstheme="majorBidi"/>
          <w:sz w:val="24"/>
          <w:szCs w:val="24"/>
        </w:rPr>
        <w:t xml:space="preserve"> 2020)</w:t>
      </w:r>
      <w:r w:rsidRPr="00A86443">
        <w:rPr>
          <w:rFonts w:asciiTheme="majorBidi" w:hAnsiTheme="majorBidi" w:cstheme="majorBidi"/>
          <w:sz w:val="24"/>
          <w:szCs w:val="24"/>
          <w:vertAlign w:val="superscript"/>
        </w:rPr>
        <w:t>16</w:t>
      </w:r>
      <w:r w:rsidRPr="00A86443">
        <w:rPr>
          <w:rFonts w:asciiTheme="majorBidi" w:hAnsiTheme="majorBidi" w:cstheme="majorBidi"/>
          <w:sz w:val="24"/>
          <w:szCs w:val="24"/>
        </w:rPr>
        <w:t xml:space="preserve"> study, which indicated that the immune response declines due to the atrophy of naive T cell production in adulthood (40 to 50 years). However, our study indicates that antibody </w:t>
      </w:r>
      <w:r w:rsidRPr="00A86443">
        <w:rPr>
          <w:rFonts w:asciiTheme="majorBidi" w:hAnsiTheme="majorBidi" w:cstheme="majorBidi"/>
          <w:sz w:val="24"/>
          <w:szCs w:val="24"/>
        </w:rPr>
        <w:t>levels are higher because it covered a wider age range, i.e., from 18 to 65 years, a group of young adults whose immune systems are at their most active. This is what our current study found. There were also highly statistically significant differences (p &lt;0.002, p &lt;0.003, p &lt;0.001) compared to the control group, indicating an active viral infection. As for rhinovirus, IgM levels were not significantly elevated, as it causes a localized infection that may not strongly stimulate the immune system.</w:t>
      </w:r>
      <w:r>
        <w:rPr>
          <w:rFonts w:asciiTheme="majorBidi" w:hAnsiTheme="majorBidi" w:cstheme="majorBidi"/>
          <w:sz w:val="24"/>
          <w:szCs w:val="24"/>
          <w:lang w:val="en-US"/>
        </w:rPr>
        <w:t xml:space="preserve"> </w:t>
      </w:r>
      <w:r w:rsidRPr="004D751B">
        <w:rPr>
          <w:rFonts w:asciiTheme="majorBidi" w:hAnsiTheme="majorBidi" w:cstheme="majorBidi"/>
          <w:b/>
          <w:bCs/>
          <w:sz w:val="24"/>
          <w:szCs w:val="24"/>
          <w:lang w:val="en-US"/>
        </w:rPr>
        <w:t>Figure 2.</w:t>
      </w:r>
    </w:p>
    <w:p w14:paraId="03BB62F9" w14:textId="77777777" w:rsidR="004D751B" w:rsidRDefault="004D751B" w:rsidP="00AB732B">
      <w:pPr>
        <w:jc w:val="both"/>
        <w:rPr>
          <w:rFonts w:asciiTheme="majorBidi" w:hAnsiTheme="majorBidi" w:cstheme="majorBidi"/>
          <w:sz w:val="24"/>
          <w:szCs w:val="24"/>
          <w:lang w:val="en-US"/>
        </w:rPr>
      </w:pPr>
    </w:p>
    <w:p w14:paraId="58BE7A28" w14:textId="0C27B81C" w:rsidR="004D751B" w:rsidRPr="004D751B" w:rsidRDefault="004D751B" w:rsidP="004D751B">
      <w:pPr>
        <w:jc w:val="both"/>
        <w:rPr>
          <w:rFonts w:asciiTheme="majorBidi" w:hAnsiTheme="majorBidi" w:cstheme="majorBidi"/>
          <w:sz w:val="24"/>
          <w:szCs w:val="24"/>
          <w:rtl/>
          <w:lang w:val="en-US" w:bidi="ar-IQ"/>
        </w:rPr>
      </w:pPr>
      <w:r>
        <w:rPr>
          <w:rFonts w:asciiTheme="majorBidi" w:hAnsiTheme="majorBidi" w:cstheme="majorBidi"/>
          <w:sz w:val="24"/>
          <w:szCs w:val="24"/>
          <w:lang w:val="en-US"/>
        </w:rPr>
        <w:t xml:space="preserve">    </w:t>
      </w:r>
      <w:r w:rsidRPr="00A86443">
        <w:rPr>
          <w:rFonts w:asciiTheme="majorBidi" w:hAnsiTheme="majorBidi" w:cstheme="majorBidi"/>
          <w:sz w:val="24"/>
          <w:szCs w:val="24"/>
        </w:rPr>
        <w:t>Virus diagnosis by gender showed higher IgM levels in males and females compared to the control group, indicating an active viral infection. Both influenza and parainfluenza viruses showed significant differences compared to the control group (</w:t>
      </w:r>
      <w:r w:rsidRPr="00A86443">
        <w:rPr>
          <w:rFonts w:asciiTheme="majorBidi" w:hAnsiTheme="majorBidi" w:cstheme="majorBidi"/>
          <w:i/>
          <w:iCs/>
          <w:sz w:val="24"/>
          <w:szCs w:val="24"/>
        </w:rPr>
        <w:t>p</w:t>
      </w:r>
      <w:r w:rsidRPr="00A86443">
        <w:rPr>
          <w:rFonts w:asciiTheme="majorBidi" w:hAnsiTheme="majorBidi" w:cstheme="majorBidi"/>
          <w:sz w:val="24"/>
          <w:szCs w:val="24"/>
        </w:rPr>
        <w:t xml:space="preserve"> &lt; 0.05), while there were no statistically significant differences for rhinovirus (</w:t>
      </w:r>
      <w:r w:rsidRPr="00A86443">
        <w:rPr>
          <w:rFonts w:asciiTheme="majorBidi" w:hAnsiTheme="majorBidi" w:cstheme="majorBidi"/>
          <w:i/>
          <w:iCs/>
          <w:sz w:val="24"/>
          <w:szCs w:val="24"/>
        </w:rPr>
        <w:t>p</w:t>
      </w:r>
      <w:r w:rsidRPr="00A86443">
        <w:rPr>
          <w:rFonts w:asciiTheme="majorBidi" w:hAnsiTheme="majorBidi" w:cstheme="majorBidi"/>
          <w:sz w:val="24"/>
          <w:szCs w:val="24"/>
        </w:rPr>
        <w:t xml:space="preserve"> &gt; 0.05), which may indicate a weaker or better adaptive virus to the body.</w:t>
      </w:r>
      <w:r>
        <w:rPr>
          <w:rFonts w:asciiTheme="majorBidi" w:hAnsiTheme="majorBidi" w:cstheme="majorBidi"/>
          <w:sz w:val="24"/>
          <w:szCs w:val="24"/>
          <w:lang w:val="en-US"/>
        </w:rPr>
        <w:t xml:space="preserve"> </w:t>
      </w:r>
      <w:r w:rsidRPr="004D751B">
        <w:rPr>
          <w:rFonts w:asciiTheme="majorBidi" w:hAnsiTheme="majorBidi" w:cstheme="majorBidi"/>
          <w:b/>
          <w:bCs/>
          <w:sz w:val="24"/>
          <w:szCs w:val="24"/>
          <w:lang w:val="en-US"/>
        </w:rPr>
        <w:t xml:space="preserve">Table </w:t>
      </w:r>
      <w:r w:rsidR="00140DC1">
        <w:rPr>
          <w:rFonts w:asciiTheme="majorBidi" w:hAnsiTheme="majorBidi" w:cstheme="majorBidi"/>
          <w:b/>
          <w:bCs/>
          <w:sz w:val="24"/>
          <w:szCs w:val="24"/>
          <w:lang w:val="en-US"/>
        </w:rPr>
        <w:t>3</w:t>
      </w:r>
      <w:r w:rsidRPr="004D751B">
        <w:rPr>
          <w:rFonts w:asciiTheme="majorBidi" w:hAnsiTheme="majorBidi" w:cstheme="majorBidi"/>
          <w:b/>
          <w:bCs/>
          <w:sz w:val="24"/>
          <w:szCs w:val="24"/>
          <w:lang w:val="en-US"/>
        </w:rPr>
        <w:t>.</w:t>
      </w:r>
    </w:p>
    <w:p w14:paraId="55C0E620" w14:textId="77777777" w:rsidR="004D751B" w:rsidRDefault="004D751B" w:rsidP="00AB732B">
      <w:pPr>
        <w:jc w:val="both"/>
        <w:rPr>
          <w:rFonts w:asciiTheme="majorBidi" w:hAnsiTheme="majorBidi" w:cstheme="majorBidi"/>
          <w:sz w:val="24"/>
          <w:szCs w:val="24"/>
          <w:lang w:val="en-US" w:bidi="ar-IQ"/>
        </w:rPr>
      </w:pPr>
    </w:p>
    <w:p w14:paraId="1E613696" w14:textId="77777777" w:rsidR="004D751B" w:rsidRDefault="004D751B" w:rsidP="00AB732B">
      <w:pPr>
        <w:jc w:val="both"/>
        <w:rPr>
          <w:rFonts w:asciiTheme="majorBidi" w:hAnsiTheme="majorBidi" w:cstheme="majorBidi"/>
          <w:sz w:val="24"/>
          <w:szCs w:val="24"/>
          <w:lang w:val="en-US" w:bidi="ar-IQ"/>
        </w:rPr>
      </w:pPr>
    </w:p>
    <w:p w14:paraId="51115881" w14:textId="77777777" w:rsidR="004D751B" w:rsidRDefault="004D751B" w:rsidP="00AB732B">
      <w:pPr>
        <w:jc w:val="both"/>
        <w:rPr>
          <w:rFonts w:asciiTheme="majorBidi" w:hAnsiTheme="majorBidi" w:cstheme="majorBidi"/>
          <w:sz w:val="24"/>
          <w:szCs w:val="24"/>
          <w:lang w:val="en-US" w:bidi="ar-IQ"/>
        </w:rPr>
      </w:pPr>
    </w:p>
    <w:p w14:paraId="217D4068" w14:textId="77777777" w:rsidR="004D751B" w:rsidRPr="004D751B" w:rsidRDefault="004D751B" w:rsidP="00AB732B">
      <w:pPr>
        <w:jc w:val="both"/>
        <w:rPr>
          <w:rFonts w:asciiTheme="majorBidi" w:hAnsiTheme="majorBidi" w:cstheme="majorBidi"/>
          <w:sz w:val="24"/>
          <w:szCs w:val="24"/>
          <w:lang w:val="en-US" w:bidi="ar-IQ"/>
        </w:rPr>
        <w:sectPr w:rsidR="004D751B" w:rsidRPr="004D751B" w:rsidSect="004D751B">
          <w:type w:val="continuous"/>
          <w:pgSz w:w="11906" w:h="16838"/>
          <w:pgMar w:top="1134" w:right="1134" w:bottom="1134" w:left="1134" w:header="709" w:footer="709" w:gutter="0"/>
          <w:cols w:num="2" w:space="454"/>
          <w:titlePg/>
          <w:docGrid w:linePitch="360"/>
        </w:sectPr>
      </w:pPr>
    </w:p>
    <w:p w14:paraId="7B7F6800" w14:textId="77777777" w:rsidR="004A6D6C" w:rsidRPr="00A86443" w:rsidRDefault="004A6D6C" w:rsidP="00AB732B">
      <w:pPr>
        <w:shd w:val="clear" w:color="auto" w:fill="FFFFFF"/>
        <w:spacing w:before="274" w:after="206" w:line="240" w:lineRule="auto"/>
        <w:outlineLvl w:val="2"/>
        <w:rPr>
          <w:rFonts w:asciiTheme="majorBidi" w:eastAsia="Times New Roman" w:hAnsiTheme="majorBidi" w:cstheme="majorBidi"/>
          <w:color w:val="404040"/>
          <w:sz w:val="24"/>
          <w:szCs w:val="24"/>
        </w:rPr>
      </w:pPr>
      <w:r w:rsidRPr="00A86443">
        <w:rPr>
          <w:rFonts w:asciiTheme="majorBidi" w:eastAsia="Times New Roman" w:hAnsiTheme="majorBidi" w:cstheme="majorBidi"/>
          <w:b/>
          <w:bCs/>
          <w:color w:val="404040"/>
          <w:sz w:val="24"/>
          <w:szCs w:val="24"/>
        </w:rPr>
        <w:t>Table 2: Anti-Viral IgM Levels (U/mL) by Age Group and Viral Pathogen.</w:t>
      </w:r>
    </w:p>
    <w:tbl>
      <w:tblPr>
        <w:tblStyle w:val="TableGrid"/>
        <w:tblW w:w="5047" w:type="pct"/>
        <w:jc w:val="center"/>
        <w:tblLook w:val="04A0" w:firstRow="1" w:lastRow="0" w:firstColumn="1" w:lastColumn="0" w:noHBand="0" w:noVBand="1"/>
      </w:tblPr>
      <w:tblGrid>
        <w:gridCol w:w="1677"/>
        <w:gridCol w:w="1325"/>
        <w:gridCol w:w="1106"/>
        <w:gridCol w:w="1323"/>
        <w:gridCol w:w="1084"/>
        <w:gridCol w:w="1323"/>
        <w:gridCol w:w="788"/>
        <w:gridCol w:w="1321"/>
      </w:tblGrid>
      <w:tr w:rsidR="00D72B40" w:rsidRPr="00AF048D" w14:paraId="55E8E721" w14:textId="77777777" w:rsidTr="008343CF">
        <w:trPr>
          <w:cantSplit/>
          <w:trHeight w:val="1265"/>
          <w:jc w:val="center"/>
        </w:trPr>
        <w:tc>
          <w:tcPr>
            <w:tcW w:w="843" w:type="pct"/>
            <w:shd w:val="clear" w:color="auto" w:fill="E7E6E6" w:themeFill="background2"/>
            <w:vAlign w:val="center"/>
            <w:hideMark/>
          </w:tcPr>
          <w:p w14:paraId="61C5B372" w14:textId="77777777" w:rsidR="004A6D6C" w:rsidRPr="008343CF" w:rsidRDefault="004A6D6C" w:rsidP="00AB732B">
            <w:pPr>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color w:val="000000" w:themeColor="text1"/>
              </w:rPr>
              <w:t>Age Group</w:t>
            </w:r>
          </w:p>
        </w:tc>
        <w:tc>
          <w:tcPr>
            <w:tcW w:w="666" w:type="pct"/>
            <w:shd w:val="clear" w:color="auto" w:fill="E7E6E6" w:themeFill="background2"/>
            <w:textDirection w:val="btLr"/>
            <w:vAlign w:val="center"/>
            <w:hideMark/>
          </w:tcPr>
          <w:p w14:paraId="78820862" w14:textId="77777777" w:rsidR="004A6D6C" w:rsidRPr="008343CF" w:rsidRDefault="004A6D6C" w:rsidP="00AB732B">
            <w:pPr>
              <w:ind w:left="113" w:right="113"/>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color w:val="000000" w:themeColor="text1"/>
              </w:rPr>
              <w:t>Influenza (Mean ± SD)</w:t>
            </w:r>
          </w:p>
        </w:tc>
        <w:tc>
          <w:tcPr>
            <w:tcW w:w="556" w:type="pct"/>
            <w:shd w:val="clear" w:color="auto" w:fill="E7E6E6" w:themeFill="background2"/>
            <w:textDirection w:val="btLr"/>
            <w:vAlign w:val="center"/>
            <w:hideMark/>
          </w:tcPr>
          <w:p w14:paraId="2F888DFD" w14:textId="77777777" w:rsidR="004A6D6C" w:rsidRPr="008343CF" w:rsidRDefault="004A6D6C" w:rsidP="00AB732B">
            <w:pPr>
              <w:ind w:left="113" w:right="113"/>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i/>
                <w:iCs/>
                <w:color w:val="000000" w:themeColor="text1"/>
              </w:rPr>
              <w:t>p-value</w:t>
            </w:r>
            <w:r w:rsidRPr="008343CF">
              <w:rPr>
                <w:rFonts w:ascii="Times New Roman" w:eastAsia="Times New Roman" w:hAnsi="Times New Roman" w:cs="Times New Roman"/>
                <w:b/>
                <w:bCs/>
                <w:color w:val="000000" w:themeColor="text1"/>
              </w:rPr>
              <w:t xml:space="preserve"> vs. Control</w:t>
            </w:r>
          </w:p>
        </w:tc>
        <w:tc>
          <w:tcPr>
            <w:tcW w:w="665" w:type="pct"/>
            <w:shd w:val="clear" w:color="auto" w:fill="E7E6E6" w:themeFill="background2"/>
            <w:textDirection w:val="btLr"/>
            <w:vAlign w:val="center"/>
            <w:hideMark/>
          </w:tcPr>
          <w:p w14:paraId="24BBFC74" w14:textId="77777777" w:rsidR="004A6D6C" w:rsidRPr="008343CF" w:rsidRDefault="004A6D6C" w:rsidP="00AB732B">
            <w:pPr>
              <w:ind w:left="113" w:right="113"/>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color w:val="000000" w:themeColor="text1"/>
              </w:rPr>
              <w:t>Parainfluenza (Mean ± SD)</w:t>
            </w:r>
          </w:p>
        </w:tc>
        <w:tc>
          <w:tcPr>
            <w:tcW w:w="545" w:type="pct"/>
            <w:shd w:val="clear" w:color="auto" w:fill="E7E6E6" w:themeFill="background2"/>
            <w:textDirection w:val="btLr"/>
            <w:vAlign w:val="center"/>
            <w:hideMark/>
          </w:tcPr>
          <w:p w14:paraId="5AD0A3F0" w14:textId="77777777" w:rsidR="004A6D6C" w:rsidRPr="008343CF" w:rsidRDefault="004A6D6C" w:rsidP="00AB732B">
            <w:pPr>
              <w:ind w:left="113" w:right="113"/>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i/>
                <w:iCs/>
                <w:color w:val="000000" w:themeColor="text1"/>
              </w:rPr>
              <w:t>p-value</w:t>
            </w:r>
            <w:r w:rsidRPr="008343CF">
              <w:rPr>
                <w:rFonts w:ascii="Times New Roman" w:eastAsia="Times New Roman" w:hAnsi="Times New Roman" w:cs="Times New Roman"/>
                <w:b/>
                <w:bCs/>
                <w:color w:val="000000" w:themeColor="text1"/>
              </w:rPr>
              <w:t xml:space="preserve"> vs.Control</w:t>
            </w:r>
          </w:p>
        </w:tc>
        <w:tc>
          <w:tcPr>
            <w:tcW w:w="665" w:type="pct"/>
            <w:shd w:val="clear" w:color="auto" w:fill="E7E6E6" w:themeFill="background2"/>
            <w:textDirection w:val="btLr"/>
            <w:vAlign w:val="center"/>
            <w:hideMark/>
          </w:tcPr>
          <w:p w14:paraId="112E1810" w14:textId="77777777" w:rsidR="004A6D6C" w:rsidRPr="008343CF" w:rsidRDefault="004A6D6C" w:rsidP="00AB732B">
            <w:pPr>
              <w:ind w:left="113" w:right="113"/>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color w:val="000000" w:themeColor="text1"/>
              </w:rPr>
              <w:t>Rhinovirus (Mean±SD)</w:t>
            </w:r>
          </w:p>
        </w:tc>
        <w:tc>
          <w:tcPr>
            <w:tcW w:w="396" w:type="pct"/>
            <w:shd w:val="clear" w:color="auto" w:fill="E7E6E6" w:themeFill="background2"/>
            <w:textDirection w:val="btLr"/>
            <w:vAlign w:val="center"/>
            <w:hideMark/>
          </w:tcPr>
          <w:p w14:paraId="305DEA8A" w14:textId="77777777" w:rsidR="004A6D6C" w:rsidRPr="008343CF" w:rsidRDefault="004A6D6C" w:rsidP="00AB732B">
            <w:pPr>
              <w:ind w:left="113" w:right="113"/>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i/>
                <w:iCs/>
                <w:color w:val="000000" w:themeColor="text1"/>
              </w:rPr>
              <w:t>p-value</w:t>
            </w:r>
            <w:r w:rsidRPr="008343CF">
              <w:rPr>
                <w:rFonts w:ascii="Times New Roman" w:eastAsia="Times New Roman" w:hAnsi="Times New Roman" w:cs="Times New Roman"/>
                <w:b/>
                <w:bCs/>
                <w:color w:val="000000" w:themeColor="text1"/>
              </w:rPr>
              <w:t xml:space="preserve"> vs. Control</w:t>
            </w:r>
          </w:p>
        </w:tc>
        <w:tc>
          <w:tcPr>
            <w:tcW w:w="664" w:type="pct"/>
            <w:shd w:val="clear" w:color="auto" w:fill="E7E6E6" w:themeFill="background2"/>
            <w:textDirection w:val="btLr"/>
            <w:vAlign w:val="center"/>
            <w:hideMark/>
          </w:tcPr>
          <w:p w14:paraId="1DFB89F9" w14:textId="77777777" w:rsidR="004A6D6C" w:rsidRPr="008343CF" w:rsidRDefault="004A6D6C" w:rsidP="00AB732B">
            <w:pPr>
              <w:ind w:left="113" w:right="113"/>
              <w:jc w:val="center"/>
              <w:rPr>
                <w:rFonts w:ascii="Times New Roman" w:eastAsia="Times New Roman" w:hAnsi="Times New Roman" w:cs="Times New Roman"/>
                <w:b/>
                <w:bCs/>
                <w:color w:val="000000" w:themeColor="text1"/>
              </w:rPr>
            </w:pPr>
            <w:r w:rsidRPr="008343CF">
              <w:rPr>
                <w:rFonts w:ascii="Times New Roman" w:eastAsia="Times New Roman" w:hAnsi="Times New Roman" w:cs="Times New Roman"/>
                <w:b/>
                <w:bCs/>
                <w:color w:val="000000" w:themeColor="text1"/>
              </w:rPr>
              <w:t>Control (Mean ± SD)</w:t>
            </w:r>
          </w:p>
        </w:tc>
      </w:tr>
      <w:tr w:rsidR="00D72B40" w:rsidRPr="00AF048D" w14:paraId="579E3CF7" w14:textId="77777777" w:rsidTr="00D72B40">
        <w:trPr>
          <w:trHeight w:val="417"/>
          <w:jc w:val="center"/>
        </w:trPr>
        <w:tc>
          <w:tcPr>
            <w:tcW w:w="843" w:type="pct"/>
            <w:hideMark/>
          </w:tcPr>
          <w:p w14:paraId="62F7B660"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&lt;18 yrs</w:t>
            </w:r>
          </w:p>
        </w:tc>
        <w:tc>
          <w:tcPr>
            <w:tcW w:w="666" w:type="pct"/>
            <w:hideMark/>
          </w:tcPr>
          <w:p w14:paraId="541C7576"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2.6 ± 0.6</w:t>
            </w:r>
          </w:p>
        </w:tc>
        <w:tc>
          <w:tcPr>
            <w:tcW w:w="556" w:type="pct"/>
            <w:hideMark/>
          </w:tcPr>
          <w:p w14:paraId="62D321FB"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&lt;0.01*</w:t>
            </w:r>
          </w:p>
        </w:tc>
        <w:tc>
          <w:tcPr>
            <w:tcW w:w="665" w:type="pct"/>
            <w:hideMark/>
          </w:tcPr>
          <w:p w14:paraId="58CB8C86"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2.9 ± 0.3</w:t>
            </w:r>
          </w:p>
        </w:tc>
        <w:tc>
          <w:tcPr>
            <w:tcW w:w="545" w:type="pct"/>
            <w:hideMark/>
          </w:tcPr>
          <w:p w14:paraId="13DAD191"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0.002*</w:t>
            </w:r>
          </w:p>
        </w:tc>
        <w:tc>
          <w:tcPr>
            <w:tcW w:w="665" w:type="pct"/>
            <w:hideMark/>
          </w:tcPr>
          <w:p w14:paraId="4CA655D5"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1.2 ± 0.3</w:t>
            </w:r>
          </w:p>
        </w:tc>
        <w:tc>
          <w:tcPr>
            <w:tcW w:w="396" w:type="pct"/>
            <w:hideMark/>
          </w:tcPr>
          <w:p w14:paraId="2437A206"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0.1</w:t>
            </w:r>
          </w:p>
        </w:tc>
        <w:tc>
          <w:tcPr>
            <w:tcW w:w="664" w:type="pct"/>
            <w:hideMark/>
          </w:tcPr>
          <w:p w14:paraId="054F8B43"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0.2 ± 0.1</w:t>
            </w:r>
          </w:p>
        </w:tc>
      </w:tr>
      <w:tr w:rsidR="00D72B40" w:rsidRPr="00AF048D" w14:paraId="7351C808" w14:textId="77777777" w:rsidTr="00D72B40">
        <w:trPr>
          <w:trHeight w:val="417"/>
          <w:jc w:val="center"/>
        </w:trPr>
        <w:tc>
          <w:tcPr>
            <w:tcW w:w="843" w:type="pct"/>
            <w:hideMark/>
          </w:tcPr>
          <w:p w14:paraId="6C95AF56"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18-65 yrs</w:t>
            </w:r>
          </w:p>
        </w:tc>
        <w:tc>
          <w:tcPr>
            <w:tcW w:w="666" w:type="pct"/>
            <w:hideMark/>
          </w:tcPr>
          <w:p w14:paraId="45746DC1"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3.1 ± 0.7</w:t>
            </w:r>
          </w:p>
        </w:tc>
        <w:tc>
          <w:tcPr>
            <w:tcW w:w="556" w:type="pct"/>
            <w:hideMark/>
          </w:tcPr>
          <w:p w14:paraId="1EA3542A"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&lt;0.01*</w:t>
            </w:r>
          </w:p>
        </w:tc>
        <w:tc>
          <w:tcPr>
            <w:tcW w:w="665" w:type="pct"/>
            <w:hideMark/>
          </w:tcPr>
          <w:p w14:paraId="7AE09AEF"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3.9 ± 0.6</w:t>
            </w:r>
          </w:p>
        </w:tc>
        <w:tc>
          <w:tcPr>
            <w:tcW w:w="545" w:type="pct"/>
            <w:hideMark/>
          </w:tcPr>
          <w:p w14:paraId="15A4AE33"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0.003*</w:t>
            </w:r>
          </w:p>
        </w:tc>
        <w:tc>
          <w:tcPr>
            <w:tcW w:w="665" w:type="pct"/>
            <w:hideMark/>
          </w:tcPr>
          <w:p w14:paraId="69BB993D"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2.2 ± 0.2</w:t>
            </w:r>
          </w:p>
        </w:tc>
        <w:tc>
          <w:tcPr>
            <w:tcW w:w="396" w:type="pct"/>
            <w:hideMark/>
          </w:tcPr>
          <w:p w14:paraId="5CF2BAA3"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0.06</w:t>
            </w:r>
          </w:p>
        </w:tc>
        <w:tc>
          <w:tcPr>
            <w:tcW w:w="664" w:type="pct"/>
            <w:hideMark/>
          </w:tcPr>
          <w:p w14:paraId="66EED442"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0.5 ± 0.2</w:t>
            </w:r>
          </w:p>
        </w:tc>
      </w:tr>
      <w:tr w:rsidR="00D72B40" w:rsidRPr="00AF048D" w14:paraId="1B727201" w14:textId="77777777" w:rsidTr="00D72B40">
        <w:trPr>
          <w:trHeight w:val="430"/>
          <w:jc w:val="center"/>
        </w:trPr>
        <w:tc>
          <w:tcPr>
            <w:tcW w:w="843" w:type="pct"/>
            <w:hideMark/>
          </w:tcPr>
          <w:p w14:paraId="2373D5DE"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&gt;65 yrs</w:t>
            </w:r>
          </w:p>
        </w:tc>
        <w:tc>
          <w:tcPr>
            <w:tcW w:w="666" w:type="pct"/>
            <w:hideMark/>
          </w:tcPr>
          <w:p w14:paraId="2DE05BF9"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4.2 ± 0.8</w:t>
            </w:r>
          </w:p>
        </w:tc>
        <w:tc>
          <w:tcPr>
            <w:tcW w:w="556" w:type="pct"/>
            <w:hideMark/>
          </w:tcPr>
          <w:p w14:paraId="13352D63"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&lt;0.01*</w:t>
            </w:r>
          </w:p>
        </w:tc>
        <w:tc>
          <w:tcPr>
            <w:tcW w:w="665" w:type="pct"/>
            <w:hideMark/>
          </w:tcPr>
          <w:p w14:paraId="7A1ADED7"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3.3 ± 0.5</w:t>
            </w:r>
          </w:p>
        </w:tc>
        <w:tc>
          <w:tcPr>
            <w:tcW w:w="545" w:type="pct"/>
            <w:hideMark/>
          </w:tcPr>
          <w:p w14:paraId="73E3E0ED"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0.001*</w:t>
            </w:r>
          </w:p>
        </w:tc>
        <w:tc>
          <w:tcPr>
            <w:tcW w:w="665" w:type="pct"/>
            <w:hideMark/>
          </w:tcPr>
          <w:p w14:paraId="0838E9D9"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2.0 ± 0.2</w:t>
            </w:r>
          </w:p>
        </w:tc>
        <w:tc>
          <w:tcPr>
            <w:tcW w:w="396" w:type="pct"/>
            <w:hideMark/>
          </w:tcPr>
          <w:p w14:paraId="0A6FE627" w14:textId="77777777" w:rsidR="004A6D6C" w:rsidRPr="00AF048D" w:rsidRDefault="004A6D6C" w:rsidP="00AB732B">
            <w:pPr>
              <w:rPr>
                <w:rFonts w:ascii="Times New Roman" w:eastAsia="Times New Roman" w:hAnsi="Times New Roman" w:cs="Times New Roman"/>
                <w:b/>
                <w:bCs/>
                <w:rtl/>
              </w:rPr>
            </w:pPr>
            <w:r w:rsidRPr="00AF048D">
              <w:rPr>
                <w:rFonts w:ascii="Times New Roman" w:eastAsia="Times New Roman" w:hAnsi="Times New Roman" w:cs="Times New Roman"/>
                <w:b/>
                <w:bCs/>
              </w:rPr>
              <w:t>0.12</w:t>
            </w:r>
          </w:p>
        </w:tc>
        <w:tc>
          <w:tcPr>
            <w:tcW w:w="664" w:type="pct"/>
            <w:hideMark/>
          </w:tcPr>
          <w:p w14:paraId="01DD221D" w14:textId="77777777" w:rsidR="004A6D6C" w:rsidRPr="00AF048D" w:rsidRDefault="004A6D6C" w:rsidP="00AB732B">
            <w:pPr>
              <w:rPr>
                <w:rFonts w:ascii="Times New Roman" w:eastAsia="Times New Roman" w:hAnsi="Times New Roman" w:cs="Times New Roman"/>
                <w:b/>
                <w:bCs/>
              </w:rPr>
            </w:pPr>
            <w:r w:rsidRPr="00AF048D">
              <w:rPr>
                <w:rFonts w:ascii="Times New Roman" w:eastAsia="Times New Roman" w:hAnsi="Times New Roman" w:cs="Times New Roman"/>
                <w:b/>
                <w:bCs/>
              </w:rPr>
              <w:t>0.4 ± 0.1</w:t>
            </w:r>
          </w:p>
        </w:tc>
      </w:tr>
    </w:tbl>
    <w:p w14:paraId="4A5F5938" w14:textId="77777777" w:rsidR="00D72B40" w:rsidRDefault="00D72B40" w:rsidP="00AB732B">
      <w:pPr>
        <w:spacing w:after="0"/>
        <w:jc w:val="both"/>
        <w:rPr>
          <w:rFonts w:asciiTheme="majorBidi" w:hAnsiTheme="majorBidi" w:cstheme="majorBidi"/>
          <w:sz w:val="24"/>
          <w:szCs w:val="24"/>
          <w:lang w:val="en-US"/>
        </w:rPr>
      </w:pPr>
    </w:p>
    <w:p w14:paraId="1F9E7994" w14:textId="77777777" w:rsidR="00D72B40" w:rsidRDefault="00D72B40" w:rsidP="00AB732B">
      <w:pPr>
        <w:jc w:val="both"/>
        <w:rPr>
          <w:rFonts w:asciiTheme="majorBidi" w:hAnsiTheme="majorBidi" w:cstheme="majorBidi"/>
          <w:sz w:val="24"/>
          <w:szCs w:val="24"/>
        </w:rPr>
        <w:sectPr w:rsidR="00D72B40" w:rsidSect="00B77DBC">
          <w:type w:val="continuous"/>
          <w:pgSz w:w="11906" w:h="16838"/>
          <w:pgMar w:top="1134" w:right="1134" w:bottom="1134" w:left="1134" w:header="709" w:footer="709" w:gutter="0"/>
          <w:cols w:space="454"/>
          <w:titlePg/>
          <w:docGrid w:linePitch="360"/>
        </w:sectPr>
      </w:pPr>
    </w:p>
    <w:p w14:paraId="3FCFA457" w14:textId="40D8E485" w:rsidR="00D72B40" w:rsidRPr="004D751B" w:rsidRDefault="004A6D6C" w:rsidP="004D751B">
      <w:pPr>
        <w:jc w:val="both"/>
        <w:rPr>
          <w:rFonts w:asciiTheme="majorBidi" w:hAnsiTheme="majorBidi" w:cstheme="majorBidi"/>
          <w:sz w:val="24"/>
          <w:szCs w:val="24"/>
          <w:lang w:val="en-US"/>
        </w:rPr>
        <w:sectPr w:rsidR="00D72B40" w:rsidRPr="004D751B" w:rsidSect="00B77DBC">
          <w:type w:val="continuous"/>
          <w:pgSz w:w="11906" w:h="16838"/>
          <w:pgMar w:top="1134" w:right="1134" w:bottom="1134" w:left="1134" w:header="709" w:footer="709" w:gutter="0"/>
          <w:cols w:space="454"/>
          <w:titlePg/>
          <w:docGrid w:linePitch="360"/>
        </w:sectPr>
      </w:pPr>
      <w:r w:rsidRPr="00A86443">
        <w:rPr>
          <w:rFonts w:asciiTheme="majorBidi" w:hAnsiTheme="majorBidi" w:cstheme="majorBidi"/>
          <w:sz w:val="24"/>
          <w:szCs w:val="24"/>
        </w:rPr>
        <w:t xml:space="preserve">      </w:t>
      </w:r>
      <w:r w:rsidR="004D751B" w:rsidRPr="00FB0061">
        <w:rPr>
          <w:b/>
          <w:bCs/>
          <w:noProof/>
          <w:lang w:val="en-US"/>
        </w:rPr>
        <w:drawing>
          <wp:inline distT="0" distB="0" distL="0" distR="0" wp14:anchorId="5BC38DC5" wp14:editId="78229508">
            <wp:extent cx="5343525" cy="2238375"/>
            <wp:effectExtent l="0" t="0" r="9525" b="9525"/>
            <wp:docPr id="16" name="مخطط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5ECD15" w14:textId="436E9B52" w:rsidR="00D72B40" w:rsidRPr="00140DC1" w:rsidRDefault="004A6D6C" w:rsidP="00D6660E">
      <w:pPr>
        <w:rPr>
          <w:rFonts w:asciiTheme="majorBidi" w:hAnsiTheme="majorBidi" w:cstheme="majorBidi"/>
          <w:color w:val="000000" w:themeColor="text1"/>
          <w:sz w:val="24"/>
          <w:szCs w:val="24"/>
        </w:rPr>
        <w:sectPr w:rsidR="00D72B40" w:rsidRPr="00140DC1" w:rsidSect="00B77DBC">
          <w:type w:val="continuous"/>
          <w:pgSz w:w="11906" w:h="16838"/>
          <w:pgMar w:top="1134" w:right="1134" w:bottom="1134" w:left="1134" w:header="709" w:footer="709" w:gutter="0"/>
          <w:cols w:space="454"/>
          <w:titlePg/>
          <w:docGrid w:linePitch="360"/>
        </w:sectPr>
      </w:pPr>
      <w:r w:rsidRPr="00140DC1">
        <w:rPr>
          <w:rFonts w:asciiTheme="majorBidi" w:hAnsiTheme="majorBidi" w:cstheme="majorBidi"/>
          <w:b/>
          <w:bCs/>
          <w:color w:val="000000" w:themeColor="text1"/>
          <w:sz w:val="24"/>
          <w:szCs w:val="24"/>
        </w:rPr>
        <w:t>Figure</w:t>
      </w:r>
      <w:r w:rsidR="00D6660E" w:rsidRPr="00140DC1">
        <w:rPr>
          <w:rFonts w:asciiTheme="majorBidi" w:hAnsiTheme="majorBidi" w:cstheme="majorBidi"/>
          <w:b/>
          <w:bCs/>
          <w:color w:val="000000" w:themeColor="text1"/>
          <w:sz w:val="24"/>
          <w:szCs w:val="24"/>
          <w:lang w:val="en-US"/>
        </w:rPr>
        <w:t xml:space="preserve"> </w:t>
      </w:r>
      <w:r w:rsidRPr="00140DC1">
        <w:rPr>
          <w:rFonts w:asciiTheme="majorBidi" w:hAnsiTheme="majorBidi" w:cstheme="majorBidi"/>
          <w:b/>
          <w:bCs/>
          <w:color w:val="000000" w:themeColor="text1"/>
          <w:sz w:val="24"/>
          <w:szCs w:val="24"/>
        </w:rPr>
        <w:t xml:space="preserve">2: </w:t>
      </w:r>
      <w:r w:rsidRPr="00140DC1">
        <w:rPr>
          <w:rFonts w:asciiTheme="majorBidi" w:eastAsia="Times New Roman" w:hAnsiTheme="majorBidi" w:cstheme="majorBidi"/>
          <w:b/>
          <w:bCs/>
          <w:color w:val="000000" w:themeColor="text1"/>
          <w:sz w:val="24"/>
          <w:szCs w:val="24"/>
        </w:rPr>
        <w:t>Anti-Viral IgM Levels (U/mL) by Age Group and Viral Pathogen.</w:t>
      </w:r>
    </w:p>
    <w:p w14:paraId="543BED0A" w14:textId="77777777" w:rsidR="00140DC1" w:rsidRDefault="00140DC1" w:rsidP="00AB732B">
      <w:pPr>
        <w:spacing w:after="0" w:line="240" w:lineRule="auto"/>
        <w:rPr>
          <w:rStyle w:val="Strong"/>
          <w:rFonts w:asciiTheme="majorBidi" w:hAnsiTheme="majorBidi"/>
          <w:sz w:val="24"/>
          <w:szCs w:val="24"/>
        </w:rPr>
      </w:pPr>
    </w:p>
    <w:p w14:paraId="38CBAD1A" w14:textId="67FC46FB" w:rsidR="00893CC1" w:rsidRPr="00893CC1" w:rsidRDefault="00893CC1" w:rsidP="00AB732B">
      <w:pPr>
        <w:spacing w:after="0" w:line="240" w:lineRule="auto"/>
        <w:rPr>
          <w:sz w:val="14"/>
          <w:szCs w:val="14"/>
          <w:lang w:bidi="ar-IQ"/>
        </w:rPr>
        <w:sectPr w:rsidR="00893CC1" w:rsidRPr="00893CC1" w:rsidSect="00B77DBC">
          <w:type w:val="continuous"/>
          <w:pgSz w:w="11906" w:h="16838"/>
          <w:pgMar w:top="1134" w:right="1134" w:bottom="1134" w:left="1134" w:header="709" w:footer="709" w:gutter="0"/>
          <w:cols w:space="454"/>
          <w:titlePg/>
          <w:docGrid w:linePitch="360"/>
        </w:sectPr>
      </w:pPr>
      <w:r w:rsidRPr="00A269B7">
        <w:rPr>
          <w:rStyle w:val="Strong"/>
          <w:rFonts w:asciiTheme="majorBidi" w:hAnsiTheme="majorBidi"/>
          <w:sz w:val="24"/>
          <w:szCs w:val="24"/>
        </w:rPr>
        <w:t>Table 3: Anti-Viral IgM Le</w:t>
      </w:r>
      <w:r>
        <w:rPr>
          <w:rStyle w:val="Strong"/>
          <w:rFonts w:asciiTheme="majorBidi" w:hAnsiTheme="majorBidi"/>
          <w:sz w:val="24"/>
          <w:szCs w:val="24"/>
        </w:rPr>
        <w:t>vels (U/mL) according to Gender</w:t>
      </w:r>
      <w:r>
        <w:rPr>
          <w:rStyle w:val="Strong"/>
          <w:rFonts w:asciiTheme="majorBidi" w:hAnsiTheme="majorBidi" w:hint="cs"/>
          <w:sz w:val="24"/>
          <w:szCs w:val="24"/>
          <w:rtl/>
        </w:rPr>
        <w:t>.</w:t>
      </w:r>
    </w:p>
    <w:p w14:paraId="446C506C" w14:textId="6816D499" w:rsidR="004A6D6C" w:rsidRPr="00A269B7" w:rsidRDefault="004A6D6C" w:rsidP="00AB732B">
      <w:pPr>
        <w:pStyle w:val="Heading3"/>
        <w:shd w:val="clear" w:color="auto" w:fill="FFFFFF"/>
        <w:spacing w:before="0" w:line="240" w:lineRule="auto"/>
        <w:rPr>
          <w:rFonts w:asciiTheme="majorBidi" w:hAnsiTheme="majorBidi"/>
          <w:b w:val="0"/>
          <w:bCs w:val="0"/>
          <w:color w:val="auto"/>
          <w:sz w:val="24"/>
          <w:szCs w:val="24"/>
          <w:rtl/>
        </w:rPr>
      </w:pPr>
    </w:p>
    <w:tbl>
      <w:tblPr>
        <w:tblStyle w:val="TableGrid"/>
        <w:tblW w:w="0" w:type="auto"/>
        <w:tblLook w:val="04A0" w:firstRow="1" w:lastRow="0" w:firstColumn="1" w:lastColumn="0" w:noHBand="0" w:noVBand="1"/>
      </w:tblPr>
      <w:tblGrid>
        <w:gridCol w:w="1654"/>
        <w:gridCol w:w="2613"/>
        <w:gridCol w:w="2921"/>
        <w:gridCol w:w="2459"/>
      </w:tblGrid>
      <w:tr w:rsidR="00A269B7" w:rsidRPr="00AF048D" w14:paraId="4B58D9A4" w14:textId="77777777" w:rsidTr="008343CF">
        <w:trPr>
          <w:trHeight w:val="301"/>
        </w:trPr>
        <w:tc>
          <w:tcPr>
            <w:tcW w:w="1654" w:type="dxa"/>
            <w:shd w:val="clear" w:color="auto" w:fill="E7E6E6" w:themeFill="background2"/>
            <w:hideMark/>
          </w:tcPr>
          <w:p w14:paraId="0A5613AF" w14:textId="77777777"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Gender</w:t>
            </w:r>
          </w:p>
        </w:tc>
        <w:tc>
          <w:tcPr>
            <w:tcW w:w="2613" w:type="dxa"/>
            <w:shd w:val="clear" w:color="auto" w:fill="E7E6E6" w:themeFill="background2"/>
            <w:hideMark/>
          </w:tcPr>
          <w:p w14:paraId="233DC8E3" w14:textId="77777777"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Group</w:t>
            </w:r>
          </w:p>
        </w:tc>
        <w:tc>
          <w:tcPr>
            <w:tcW w:w="2921" w:type="dxa"/>
            <w:shd w:val="clear" w:color="auto" w:fill="E7E6E6" w:themeFill="background2"/>
            <w:hideMark/>
          </w:tcPr>
          <w:p w14:paraId="14507BAB" w14:textId="77777777"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IgM Levels (U/mL) Mean ± SD</w:t>
            </w:r>
          </w:p>
        </w:tc>
        <w:tc>
          <w:tcPr>
            <w:tcW w:w="2459" w:type="dxa"/>
            <w:shd w:val="clear" w:color="auto" w:fill="E7E6E6" w:themeFill="background2"/>
            <w:hideMark/>
          </w:tcPr>
          <w:p w14:paraId="6EA5025F" w14:textId="77777777"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p-value vs. Control</w:t>
            </w:r>
          </w:p>
        </w:tc>
      </w:tr>
      <w:tr w:rsidR="00A269B7" w:rsidRPr="00AF048D" w14:paraId="66EC3017" w14:textId="77777777" w:rsidTr="00D72B40">
        <w:trPr>
          <w:trHeight w:val="301"/>
        </w:trPr>
        <w:tc>
          <w:tcPr>
            <w:tcW w:w="1654" w:type="dxa"/>
            <w:vMerge w:val="restart"/>
            <w:hideMark/>
          </w:tcPr>
          <w:p w14:paraId="2AA24E68" w14:textId="77777777"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Male</w:t>
            </w:r>
          </w:p>
        </w:tc>
        <w:tc>
          <w:tcPr>
            <w:tcW w:w="2613" w:type="dxa"/>
            <w:hideMark/>
          </w:tcPr>
          <w:p w14:paraId="2FA6BFDA"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Influenza (n 63)</w:t>
            </w:r>
          </w:p>
        </w:tc>
        <w:tc>
          <w:tcPr>
            <w:tcW w:w="2921" w:type="dxa"/>
            <w:hideMark/>
          </w:tcPr>
          <w:p w14:paraId="2B1AE065"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3.5 ± 0.5</w:t>
            </w:r>
          </w:p>
        </w:tc>
        <w:tc>
          <w:tcPr>
            <w:tcW w:w="2459" w:type="dxa"/>
            <w:hideMark/>
          </w:tcPr>
          <w:p w14:paraId="411F402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&lt;0.0001</w:t>
            </w:r>
          </w:p>
        </w:tc>
      </w:tr>
      <w:tr w:rsidR="00A269B7" w:rsidRPr="00AF048D" w14:paraId="3E0116FD" w14:textId="77777777" w:rsidTr="00D72B40">
        <w:trPr>
          <w:trHeight w:val="301"/>
        </w:trPr>
        <w:tc>
          <w:tcPr>
            <w:tcW w:w="1654" w:type="dxa"/>
            <w:vMerge/>
            <w:hideMark/>
          </w:tcPr>
          <w:p w14:paraId="0DFDD719" w14:textId="77777777" w:rsidR="004A6D6C" w:rsidRPr="00AF048D" w:rsidRDefault="004A6D6C" w:rsidP="00AB732B">
            <w:pPr>
              <w:spacing w:after="0" w:line="240" w:lineRule="auto"/>
              <w:jc w:val="center"/>
              <w:rPr>
                <w:rFonts w:asciiTheme="majorBidi" w:hAnsiTheme="majorBidi" w:cstheme="majorBidi"/>
                <w:b/>
                <w:bCs/>
              </w:rPr>
            </w:pPr>
          </w:p>
        </w:tc>
        <w:tc>
          <w:tcPr>
            <w:tcW w:w="2613" w:type="dxa"/>
            <w:hideMark/>
          </w:tcPr>
          <w:p w14:paraId="5E318D68"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Parainfluenza ( n 54)</w:t>
            </w:r>
          </w:p>
        </w:tc>
        <w:tc>
          <w:tcPr>
            <w:tcW w:w="2921" w:type="dxa"/>
            <w:hideMark/>
          </w:tcPr>
          <w:p w14:paraId="2E0AB8E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2.2 ± 0.4</w:t>
            </w:r>
          </w:p>
        </w:tc>
        <w:tc>
          <w:tcPr>
            <w:tcW w:w="2459" w:type="dxa"/>
            <w:hideMark/>
          </w:tcPr>
          <w:p w14:paraId="6C63715E"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0.0002</w:t>
            </w:r>
          </w:p>
        </w:tc>
      </w:tr>
      <w:tr w:rsidR="00A269B7" w:rsidRPr="00AF048D" w14:paraId="51A2A7C3" w14:textId="77777777" w:rsidTr="00D72B40">
        <w:trPr>
          <w:trHeight w:val="301"/>
        </w:trPr>
        <w:tc>
          <w:tcPr>
            <w:tcW w:w="1654" w:type="dxa"/>
            <w:vMerge/>
            <w:hideMark/>
          </w:tcPr>
          <w:p w14:paraId="4ADBBAB5" w14:textId="77777777" w:rsidR="004A6D6C" w:rsidRPr="00AF048D" w:rsidRDefault="004A6D6C" w:rsidP="00AB732B">
            <w:pPr>
              <w:spacing w:after="0" w:line="240" w:lineRule="auto"/>
              <w:jc w:val="center"/>
              <w:rPr>
                <w:rFonts w:asciiTheme="majorBidi" w:hAnsiTheme="majorBidi" w:cstheme="majorBidi"/>
                <w:b/>
                <w:bCs/>
              </w:rPr>
            </w:pPr>
          </w:p>
        </w:tc>
        <w:tc>
          <w:tcPr>
            <w:tcW w:w="2613" w:type="dxa"/>
            <w:hideMark/>
          </w:tcPr>
          <w:p w14:paraId="6A96809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Rhinovirus    (n 50)</w:t>
            </w:r>
          </w:p>
        </w:tc>
        <w:tc>
          <w:tcPr>
            <w:tcW w:w="2921" w:type="dxa"/>
            <w:hideMark/>
          </w:tcPr>
          <w:p w14:paraId="2ACF8AE7"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1.6 ± 0.2</w:t>
            </w:r>
          </w:p>
        </w:tc>
        <w:tc>
          <w:tcPr>
            <w:tcW w:w="2459" w:type="dxa"/>
            <w:hideMark/>
          </w:tcPr>
          <w:p w14:paraId="77109149"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0.12</w:t>
            </w:r>
          </w:p>
        </w:tc>
      </w:tr>
      <w:tr w:rsidR="00A269B7" w:rsidRPr="00AF048D" w14:paraId="75A491F9" w14:textId="77777777" w:rsidTr="00D6660E">
        <w:trPr>
          <w:trHeight w:val="512"/>
        </w:trPr>
        <w:tc>
          <w:tcPr>
            <w:tcW w:w="1654" w:type="dxa"/>
            <w:vMerge/>
            <w:hideMark/>
          </w:tcPr>
          <w:p w14:paraId="680AC29F" w14:textId="77777777" w:rsidR="004A6D6C" w:rsidRPr="00AF048D" w:rsidRDefault="004A6D6C" w:rsidP="00AB732B">
            <w:pPr>
              <w:spacing w:after="0" w:line="240" w:lineRule="auto"/>
              <w:jc w:val="center"/>
              <w:rPr>
                <w:rFonts w:asciiTheme="majorBidi" w:hAnsiTheme="majorBidi" w:cstheme="majorBidi"/>
                <w:b/>
                <w:bCs/>
              </w:rPr>
            </w:pPr>
          </w:p>
        </w:tc>
        <w:tc>
          <w:tcPr>
            <w:tcW w:w="2613" w:type="dxa"/>
            <w:hideMark/>
          </w:tcPr>
          <w:p w14:paraId="7FD94558"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Control   (n 25)</w:t>
            </w:r>
          </w:p>
        </w:tc>
        <w:tc>
          <w:tcPr>
            <w:tcW w:w="2921" w:type="dxa"/>
            <w:hideMark/>
          </w:tcPr>
          <w:p w14:paraId="4D463D4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0.3 ± 0.2</w:t>
            </w:r>
          </w:p>
        </w:tc>
        <w:tc>
          <w:tcPr>
            <w:tcW w:w="2459" w:type="dxa"/>
            <w:hideMark/>
          </w:tcPr>
          <w:p w14:paraId="1AA98D75" w14:textId="77777777" w:rsidR="004A6D6C" w:rsidRPr="00AF048D" w:rsidRDefault="004A6D6C" w:rsidP="00AB732B">
            <w:pPr>
              <w:spacing w:after="0" w:line="240" w:lineRule="auto"/>
              <w:jc w:val="center"/>
              <w:rPr>
                <w:rFonts w:asciiTheme="majorBidi" w:hAnsiTheme="majorBidi" w:cstheme="majorBidi"/>
                <w:b/>
                <w:bCs/>
                <w:rtl/>
              </w:rPr>
            </w:pPr>
            <w:r w:rsidRPr="00AF048D">
              <w:rPr>
                <w:rFonts w:asciiTheme="majorBidi" w:hAnsiTheme="majorBidi" w:cstheme="majorBidi" w:hint="cs"/>
                <w:b/>
                <w:bCs/>
                <w:rtl/>
              </w:rPr>
              <w:t>ـــ</w:t>
            </w:r>
          </w:p>
        </w:tc>
      </w:tr>
      <w:tr w:rsidR="00A269B7" w:rsidRPr="00AF048D" w14:paraId="400215D6" w14:textId="77777777" w:rsidTr="00D72B40">
        <w:trPr>
          <w:trHeight w:val="301"/>
        </w:trPr>
        <w:tc>
          <w:tcPr>
            <w:tcW w:w="1654" w:type="dxa"/>
            <w:vMerge w:val="restart"/>
            <w:hideMark/>
          </w:tcPr>
          <w:p w14:paraId="458100CE" w14:textId="77777777" w:rsidR="004A6D6C" w:rsidRPr="00AF048D" w:rsidRDefault="004A6D6C" w:rsidP="00AB732B">
            <w:pPr>
              <w:spacing w:before="240" w:after="0" w:line="240" w:lineRule="auto"/>
              <w:jc w:val="center"/>
              <w:rPr>
                <w:rFonts w:asciiTheme="majorBidi" w:hAnsiTheme="majorBidi" w:cstheme="majorBidi"/>
                <w:b/>
                <w:bCs/>
              </w:rPr>
            </w:pPr>
            <w:r w:rsidRPr="00AF048D">
              <w:rPr>
                <w:rStyle w:val="Strong"/>
                <w:rFonts w:asciiTheme="majorBidi" w:hAnsiTheme="majorBidi" w:cstheme="majorBidi"/>
              </w:rPr>
              <w:t>Female</w:t>
            </w:r>
          </w:p>
        </w:tc>
        <w:tc>
          <w:tcPr>
            <w:tcW w:w="2613" w:type="dxa"/>
            <w:hideMark/>
          </w:tcPr>
          <w:p w14:paraId="0108C8B7"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Influenza</w:t>
            </w:r>
          </w:p>
        </w:tc>
        <w:tc>
          <w:tcPr>
            <w:tcW w:w="2921" w:type="dxa"/>
            <w:hideMark/>
          </w:tcPr>
          <w:p w14:paraId="4908BAD8"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4.0 ± 0.6</w:t>
            </w:r>
          </w:p>
        </w:tc>
        <w:tc>
          <w:tcPr>
            <w:tcW w:w="2459" w:type="dxa"/>
            <w:hideMark/>
          </w:tcPr>
          <w:p w14:paraId="6EF4CA4E"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&lt;0.0001</w:t>
            </w:r>
          </w:p>
        </w:tc>
      </w:tr>
      <w:tr w:rsidR="00A269B7" w:rsidRPr="00AF048D" w14:paraId="40E4CE04" w14:textId="77777777" w:rsidTr="00D72B40">
        <w:trPr>
          <w:trHeight w:val="301"/>
        </w:trPr>
        <w:tc>
          <w:tcPr>
            <w:tcW w:w="1654" w:type="dxa"/>
            <w:vMerge/>
            <w:hideMark/>
          </w:tcPr>
          <w:p w14:paraId="2B0C8431" w14:textId="77777777" w:rsidR="004A6D6C" w:rsidRPr="00AF048D" w:rsidRDefault="004A6D6C" w:rsidP="00AB732B">
            <w:pPr>
              <w:spacing w:before="240" w:after="0" w:line="240" w:lineRule="auto"/>
              <w:jc w:val="center"/>
              <w:rPr>
                <w:rFonts w:asciiTheme="majorBidi" w:hAnsiTheme="majorBidi" w:cstheme="majorBidi"/>
                <w:b/>
                <w:bCs/>
              </w:rPr>
            </w:pPr>
          </w:p>
        </w:tc>
        <w:tc>
          <w:tcPr>
            <w:tcW w:w="2613" w:type="dxa"/>
            <w:hideMark/>
          </w:tcPr>
          <w:p w14:paraId="1A38104A"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Parainfluenza</w:t>
            </w:r>
          </w:p>
        </w:tc>
        <w:tc>
          <w:tcPr>
            <w:tcW w:w="2921" w:type="dxa"/>
            <w:hideMark/>
          </w:tcPr>
          <w:p w14:paraId="73D59B1B"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3.2 ± 0.5</w:t>
            </w:r>
          </w:p>
        </w:tc>
        <w:tc>
          <w:tcPr>
            <w:tcW w:w="2459" w:type="dxa"/>
            <w:hideMark/>
          </w:tcPr>
          <w:p w14:paraId="64AC4BCC"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0.0001</w:t>
            </w:r>
          </w:p>
        </w:tc>
      </w:tr>
      <w:tr w:rsidR="00A269B7" w:rsidRPr="00AF048D" w14:paraId="1DB4FC30" w14:textId="77777777" w:rsidTr="00D72B40">
        <w:trPr>
          <w:trHeight w:val="301"/>
        </w:trPr>
        <w:tc>
          <w:tcPr>
            <w:tcW w:w="1654" w:type="dxa"/>
            <w:vMerge/>
            <w:hideMark/>
          </w:tcPr>
          <w:p w14:paraId="24C0416D" w14:textId="77777777" w:rsidR="004A6D6C" w:rsidRPr="00AF048D" w:rsidRDefault="004A6D6C" w:rsidP="00AB732B">
            <w:pPr>
              <w:spacing w:before="240" w:after="0" w:line="240" w:lineRule="auto"/>
              <w:jc w:val="center"/>
              <w:rPr>
                <w:rFonts w:asciiTheme="majorBidi" w:hAnsiTheme="majorBidi" w:cstheme="majorBidi"/>
                <w:b/>
                <w:bCs/>
              </w:rPr>
            </w:pPr>
          </w:p>
        </w:tc>
        <w:tc>
          <w:tcPr>
            <w:tcW w:w="2613" w:type="dxa"/>
            <w:hideMark/>
          </w:tcPr>
          <w:p w14:paraId="7E9AC17E"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Rhinovirus</w:t>
            </w:r>
          </w:p>
        </w:tc>
        <w:tc>
          <w:tcPr>
            <w:tcW w:w="2921" w:type="dxa"/>
            <w:hideMark/>
          </w:tcPr>
          <w:p w14:paraId="11FE093E"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1.9 ± 0.3</w:t>
            </w:r>
          </w:p>
        </w:tc>
        <w:tc>
          <w:tcPr>
            <w:tcW w:w="2459" w:type="dxa"/>
            <w:hideMark/>
          </w:tcPr>
          <w:p w14:paraId="59B55CC6"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0.14</w:t>
            </w:r>
          </w:p>
        </w:tc>
      </w:tr>
      <w:tr w:rsidR="00A269B7" w:rsidRPr="00AF048D" w14:paraId="67D8C860" w14:textId="77777777" w:rsidTr="00D6660E">
        <w:trPr>
          <w:trHeight w:val="719"/>
        </w:trPr>
        <w:tc>
          <w:tcPr>
            <w:tcW w:w="1654" w:type="dxa"/>
            <w:vMerge/>
            <w:hideMark/>
          </w:tcPr>
          <w:p w14:paraId="433B7243" w14:textId="77777777" w:rsidR="004A6D6C" w:rsidRPr="00AF048D" w:rsidRDefault="004A6D6C" w:rsidP="00AB732B">
            <w:pPr>
              <w:spacing w:before="240" w:after="0" w:line="240" w:lineRule="auto"/>
              <w:jc w:val="center"/>
              <w:rPr>
                <w:rFonts w:asciiTheme="majorBidi" w:hAnsiTheme="majorBidi" w:cstheme="majorBidi"/>
                <w:b/>
                <w:bCs/>
              </w:rPr>
            </w:pPr>
          </w:p>
        </w:tc>
        <w:tc>
          <w:tcPr>
            <w:tcW w:w="2613" w:type="dxa"/>
            <w:hideMark/>
          </w:tcPr>
          <w:p w14:paraId="5A9B505A"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Control  (n25)</w:t>
            </w:r>
          </w:p>
        </w:tc>
        <w:tc>
          <w:tcPr>
            <w:tcW w:w="2921" w:type="dxa"/>
            <w:hideMark/>
          </w:tcPr>
          <w:p w14:paraId="136668A3"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b/>
                <w:bCs/>
              </w:rPr>
              <w:t>0.4 ± 0.2</w:t>
            </w:r>
          </w:p>
        </w:tc>
        <w:tc>
          <w:tcPr>
            <w:tcW w:w="2459" w:type="dxa"/>
            <w:hideMark/>
          </w:tcPr>
          <w:p w14:paraId="5AC8E3D2" w14:textId="77777777" w:rsidR="004A6D6C" w:rsidRPr="00AF048D" w:rsidRDefault="004A6D6C" w:rsidP="00AB732B">
            <w:pPr>
              <w:spacing w:before="240" w:after="0" w:line="240" w:lineRule="auto"/>
              <w:jc w:val="center"/>
              <w:rPr>
                <w:rFonts w:asciiTheme="majorBidi" w:hAnsiTheme="majorBidi" w:cstheme="majorBidi"/>
                <w:b/>
                <w:bCs/>
              </w:rPr>
            </w:pPr>
            <w:r w:rsidRPr="00AF048D">
              <w:rPr>
                <w:rFonts w:asciiTheme="majorBidi" w:hAnsiTheme="majorBidi" w:cstheme="majorBidi" w:hint="cs"/>
                <w:b/>
                <w:bCs/>
                <w:rtl/>
              </w:rPr>
              <w:t>ـــ</w:t>
            </w:r>
          </w:p>
        </w:tc>
      </w:tr>
    </w:tbl>
    <w:p w14:paraId="1CE09171" w14:textId="7A05F887" w:rsidR="00D72B40" w:rsidRPr="00893CC1" w:rsidRDefault="00D72B40" w:rsidP="00AB732B">
      <w:pPr>
        <w:spacing w:after="0"/>
        <w:jc w:val="both"/>
        <w:rPr>
          <w:rFonts w:asciiTheme="majorBidi" w:hAnsiTheme="majorBidi" w:cstheme="majorBidi"/>
          <w:sz w:val="16"/>
          <w:szCs w:val="16"/>
          <w:lang w:val="en-US"/>
        </w:rPr>
        <w:sectPr w:rsidR="00D72B40" w:rsidRPr="00893CC1" w:rsidSect="00B77DBC">
          <w:type w:val="continuous"/>
          <w:pgSz w:w="11906" w:h="16838"/>
          <w:pgMar w:top="1134" w:right="1134" w:bottom="1134" w:left="1134" w:header="709" w:footer="709" w:gutter="0"/>
          <w:cols w:space="454"/>
          <w:titlePg/>
          <w:docGrid w:linePitch="360"/>
        </w:sectPr>
      </w:pPr>
      <w:r w:rsidRPr="00893CC1">
        <w:rPr>
          <w:rFonts w:asciiTheme="majorBidi" w:hAnsiTheme="majorBidi" w:cstheme="majorBidi"/>
          <w:sz w:val="4"/>
          <w:szCs w:val="4"/>
        </w:rPr>
        <w:t xml:space="preserve"> </w:t>
      </w:r>
    </w:p>
    <w:p w14:paraId="1662D118" w14:textId="77777777" w:rsidR="00140DC1" w:rsidRDefault="00D72B40" w:rsidP="00AB732B">
      <w:pPr>
        <w:spacing w:before="240"/>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61E1048A" w14:textId="77777777" w:rsidR="00140DC1" w:rsidRDefault="00140DC1" w:rsidP="00AB732B">
      <w:pPr>
        <w:spacing w:before="240"/>
        <w:jc w:val="both"/>
        <w:rPr>
          <w:rFonts w:asciiTheme="majorBidi" w:hAnsiTheme="majorBidi" w:cstheme="majorBidi"/>
          <w:sz w:val="24"/>
          <w:szCs w:val="24"/>
          <w:lang w:val="en-US"/>
        </w:rPr>
        <w:sectPr w:rsidR="00140DC1" w:rsidSect="00B77DBC">
          <w:type w:val="continuous"/>
          <w:pgSz w:w="11906" w:h="16838"/>
          <w:pgMar w:top="1134" w:right="1134" w:bottom="1134" w:left="1134" w:header="709" w:footer="709" w:gutter="0"/>
          <w:cols w:space="454"/>
          <w:titlePg/>
          <w:docGrid w:linePitch="360"/>
        </w:sectPr>
      </w:pPr>
      <w:r>
        <w:rPr>
          <w:rFonts w:asciiTheme="majorBidi" w:hAnsiTheme="majorBidi" w:cstheme="majorBidi"/>
          <w:sz w:val="24"/>
          <w:szCs w:val="24"/>
          <w:lang w:val="en-US"/>
        </w:rPr>
        <w:lastRenderedPageBreak/>
        <w:t xml:space="preserve">     </w:t>
      </w:r>
      <w:r w:rsidR="00D72B40">
        <w:rPr>
          <w:rFonts w:asciiTheme="majorBidi" w:hAnsiTheme="majorBidi" w:cstheme="majorBidi"/>
          <w:sz w:val="24"/>
          <w:szCs w:val="24"/>
          <w:lang w:val="en-US"/>
        </w:rPr>
        <w:t xml:space="preserve"> </w:t>
      </w:r>
    </w:p>
    <w:p w14:paraId="5166B1E0" w14:textId="7A1854C7" w:rsidR="004A6D6C" w:rsidRPr="00140DC1" w:rsidRDefault="00140DC1" w:rsidP="00AB732B">
      <w:pPr>
        <w:spacing w:before="240"/>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004A6D6C" w:rsidRPr="00A86443">
        <w:rPr>
          <w:rFonts w:asciiTheme="majorBidi" w:hAnsiTheme="majorBidi" w:cstheme="majorBidi"/>
          <w:sz w:val="24"/>
          <w:szCs w:val="24"/>
        </w:rPr>
        <w:t xml:space="preserve">Females showed higher levels of IgM than males in all viruses, especially in influenza viruses and parainfluenza virus. This may be due to sex hormones such as estrogen, which stimulates the immune response in females, unlike in males, due to the presence of the hormone testosterone, which suppresses </w:t>
      </w:r>
      <w:r w:rsidR="004A6D6C" w:rsidRPr="00A86443">
        <w:rPr>
          <w:rFonts w:asciiTheme="majorBidi" w:hAnsiTheme="majorBidi" w:cstheme="majorBidi"/>
          <w:sz w:val="24"/>
          <w:szCs w:val="24"/>
        </w:rPr>
        <w:t>immunity. This is agree with a study (Harding and Heaton, 2022)</w:t>
      </w:r>
      <w:r w:rsidR="004A6D6C" w:rsidRPr="00A86443">
        <w:rPr>
          <w:rFonts w:asciiTheme="majorBidi" w:hAnsiTheme="majorBidi" w:cstheme="majorBidi"/>
          <w:sz w:val="24"/>
          <w:szCs w:val="24"/>
          <w:vertAlign w:val="superscript"/>
        </w:rPr>
        <w:t>17</w:t>
      </w:r>
      <w:r>
        <w:rPr>
          <w:rFonts w:asciiTheme="majorBidi" w:hAnsiTheme="majorBidi" w:cstheme="majorBidi"/>
          <w:sz w:val="24"/>
          <w:szCs w:val="24"/>
          <w:vertAlign w:val="superscript"/>
          <w:lang w:val="en-US"/>
        </w:rPr>
        <w:t xml:space="preserve"> </w:t>
      </w:r>
      <w:r w:rsidR="004A6D6C" w:rsidRPr="00A86443">
        <w:rPr>
          <w:rFonts w:asciiTheme="majorBidi" w:hAnsiTheme="majorBidi" w:cstheme="majorBidi"/>
          <w:sz w:val="24"/>
          <w:szCs w:val="24"/>
        </w:rPr>
        <w:t>show for testosterone in males, it has a suppressive effect on innate immunity and causes a weakening of cytokine secretion, facilitating viral replication and delaying the development of the adaptive response.</w:t>
      </w:r>
      <w:r>
        <w:rPr>
          <w:rFonts w:asciiTheme="majorBidi" w:hAnsiTheme="majorBidi" w:cstheme="majorBidi"/>
          <w:sz w:val="24"/>
          <w:szCs w:val="24"/>
          <w:lang w:val="en-US"/>
        </w:rPr>
        <w:t xml:space="preserve"> </w:t>
      </w:r>
      <w:r w:rsidRPr="00140DC1">
        <w:rPr>
          <w:rFonts w:asciiTheme="majorBidi" w:hAnsiTheme="majorBidi" w:cstheme="majorBidi"/>
          <w:b/>
          <w:bCs/>
          <w:sz w:val="24"/>
          <w:szCs w:val="24"/>
          <w:lang w:val="en-US"/>
        </w:rPr>
        <w:t>Figure 3.</w:t>
      </w:r>
    </w:p>
    <w:p w14:paraId="064366B0" w14:textId="77777777" w:rsidR="00D72B40" w:rsidRDefault="00D72B40" w:rsidP="00AB732B">
      <w:pPr>
        <w:jc w:val="both"/>
        <w:rPr>
          <w:rFonts w:asciiTheme="majorBidi" w:hAnsiTheme="majorBidi" w:cstheme="majorBidi"/>
          <w:sz w:val="28"/>
          <w:szCs w:val="28"/>
        </w:rPr>
        <w:sectPr w:rsidR="00D72B40" w:rsidSect="00140DC1">
          <w:type w:val="continuous"/>
          <w:pgSz w:w="11906" w:h="16838"/>
          <w:pgMar w:top="1134" w:right="1134" w:bottom="1134" w:left="1134" w:header="709" w:footer="709" w:gutter="0"/>
          <w:cols w:num="2" w:space="454"/>
          <w:titlePg/>
          <w:docGrid w:linePitch="360"/>
        </w:sectPr>
      </w:pPr>
    </w:p>
    <w:p w14:paraId="6BC2CF38" w14:textId="6E387091" w:rsidR="004A6D6C" w:rsidRPr="00946081" w:rsidRDefault="004A6D6C" w:rsidP="00AB732B">
      <w:pPr>
        <w:jc w:val="both"/>
        <w:rPr>
          <w:rFonts w:asciiTheme="majorBidi" w:hAnsiTheme="majorBidi" w:cstheme="majorBidi"/>
          <w:sz w:val="28"/>
          <w:szCs w:val="28"/>
        </w:rPr>
      </w:pPr>
      <w:r w:rsidRPr="0094010D">
        <w:rPr>
          <w:rFonts w:asciiTheme="majorBidi" w:hAnsiTheme="majorBidi" w:cstheme="majorBidi"/>
          <w:noProof/>
          <w:sz w:val="28"/>
          <w:szCs w:val="28"/>
          <w:rtl/>
          <w:lang w:val="en-US"/>
        </w:rPr>
        <mc:AlternateContent>
          <mc:Choice Requires="wps">
            <w:drawing>
              <wp:anchor distT="0" distB="0" distL="114300" distR="114300" simplePos="0" relativeHeight="251661312" behindDoc="0" locked="0" layoutInCell="1" allowOverlap="1" wp14:anchorId="5E91BBB1" wp14:editId="4FAEF18C">
                <wp:simplePos x="0" y="0"/>
                <wp:positionH relativeFrom="column">
                  <wp:posOffset>141146</wp:posOffset>
                </wp:positionH>
                <wp:positionV relativeFrom="paragraph">
                  <wp:posOffset>5287</wp:posOffset>
                </wp:positionV>
                <wp:extent cx="5553075" cy="2530549"/>
                <wp:effectExtent l="0" t="0" r="9525" b="3175"/>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53075" cy="2530549"/>
                        </a:xfrm>
                        <a:prstGeom prst="rect">
                          <a:avLst/>
                        </a:prstGeom>
                        <a:solidFill>
                          <a:srgbClr val="FFFFFF"/>
                        </a:solidFill>
                        <a:ln w="9525">
                          <a:noFill/>
                          <a:miter lim="800000"/>
                          <a:headEnd/>
                          <a:tailEnd/>
                        </a:ln>
                      </wps:spPr>
                      <wps:txbx>
                        <w:txbxContent>
                          <w:p w14:paraId="6FF84D7E" w14:textId="77777777" w:rsidR="009E4EBF" w:rsidRDefault="009E4EBF" w:rsidP="004A6D6C">
                            <w:r w:rsidRPr="00A86443">
                              <w:rPr>
                                <w:b/>
                                <w:bCs/>
                                <w:noProof/>
                                <w:lang w:val="en-US"/>
                              </w:rPr>
                              <w:drawing>
                                <wp:inline distT="0" distB="0" distL="0" distR="0" wp14:anchorId="5E7EE00D" wp14:editId="0C92005A">
                                  <wp:extent cx="5457825" cy="2409825"/>
                                  <wp:effectExtent l="0" t="0" r="9525" b="9525"/>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91BBB1" id="_x0000_s1027" type="#_x0000_t202" style="position:absolute;left:0;text-align:left;margin-left:11.1pt;margin-top:.4pt;width:437.25pt;height:199.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" stroked="f">
                <v:textbox>
                  <w:txbxContent>
                    <w:p w14:paraId="6FF84D7E" w14:textId="77777777" w:rsidR="009E4EBF" w:rsidRDefault="009E4EBF" w:rsidP="004A6D6C">
                      <w:r w:rsidRPr="00A86443">
                        <w:rPr>
                          <w:b/>
                          <w:bCs/>
                          <w:noProof/>
                          <w:lang w:val="en-US"/>
                        </w:rPr>
                        <w:drawing>
                          <wp:inline distT="0" distB="0" distL="0" distR="0" wp14:anchorId="5E7EE00D" wp14:editId="0C92005A">
                            <wp:extent cx="5457825" cy="2409825"/>
                            <wp:effectExtent l="0" t="0" r="9525" b="9525"/>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xbxContent>
                </v:textbox>
              </v:shape>
            </w:pict>
          </mc:Fallback>
        </mc:AlternateContent>
      </w:r>
    </w:p>
    <w:p w14:paraId="2B9476F4" w14:textId="77777777" w:rsidR="004A6D6C" w:rsidRDefault="004A6D6C" w:rsidP="00AB732B">
      <w:pPr>
        <w:rPr>
          <w:rFonts w:asciiTheme="majorBidi" w:hAnsiTheme="majorBidi" w:cstheme="majorBidi"/>
          <w:sz w:val="24"/>
          <w:szCs w:val="24"/>
        </w:rPr>
      </w:pPr>
    </w:p>
    <w:p w14:paraId="79A43FC9" w14:textId="77777777" w:rsidR="004A6D6C" w:rsidRDefault="004A6D6C" w:rsidP="00AB732B">
      <w:pPr>
        <w:rPr>
          <w:rFonts w:asciiTheme="majorBidi" w:hAnsiTheme="majorBidi" w:cstheme="majorBidi"/>
          <w:sz w:val="24"/>
          <w:szCs w:val="24"/>
        </w:rPr>
      </w:pPr>
    </w:p>
    <w:p w14:paraId="2D2FF75C" w14:textId="77777777" w:rsidR="004A6D6C" w:rsidRDefault="004A6D6C" w:rsidP="00AB732B">
      <w:pPr>
        <w:rPr>
          <w:rFonts w:asciiTheme="majorBidi" w:hAnsiTheme="majorBidi" w:cstheme="majorBidi"/>
          <w:sz w:val="24"/>
          <w:szCs w:val="24"/>
        </w:rPr>
      </w:pPr>
    </w:p>
    <w:p w14:paraId="5C9B6150" w14:textId="2A694FE5" w:rsidR="00A269B7" w:rsidRDefault="00A269B7" w:rsidP="00AB732B">
      <w:pPr>
        <w:spacing w:after="0" w:line="240" w:lineRule="auto"/>
        <w:rPr>
          <w:rFonts w:asciiTheme="majorBidi" w:hAnsiTheme="majorBidi" w:cstheme="majorBidi"/>
          <w:sz w:val="24"/>
          <w:szCs w:val="24"/>
          <w:lang w:val="en-US"/>
        </w:rPr>
      </w:pPr>
    </w:p>
    <w:p w14:paraId="7CC421A5" w14:textId="77777777" w:rsidR="00A269B7" w:rsidRPr="00A269B7" w:rsidRDefault="00A269B7" w:rsidP="00AB732B">
      <w:pPr>
        <w:rPr>
          <w:rFonts w:asciiTheme="majorBidi" w:hAnsiTheme="majorBidi" w:cstheme="majorBidi"/>
          <w:sz w:val="24"/>
          <w:szCs w:val="24"/>
          <w:lang w:val="en-US"/>
        </w:rPr>
      </w:pPr>
    </w:p>
    <w:p w14:paraId="6FEF3884" w14:textId="77777777" w:rsidR="00A269B7" w:rsidRPr="00A269B7" w:rsidRDefault="00A269B7" w:rsidP="00AB732B">
      <w:pPr>
        <w:rPr>
          <w:rFonts w:asciiTheme="majorBidi" w:hAnsiTheme="majorBidi" w:cstheme="majorBidi"/>
          <w:sz w:val="24"/>
          <w:szCs w:val="24"/>
          <w:lang w:val="en-US"/>
        </w:rPr>
      </w:pPr>
    </w:p>
    <w:p w14:paraId="252ACD40" w14:textId="47582121" w:rsidR="00A269B7" w:rsidRDefault="00A269B7" w:rsidP="00AB732B">
      <w:pPr>
        <w:spacing w:after="0" w:line="240" w:lineRule="auto"/>
        <w:rPr>
          <w:rFonts w:asciiTheme="majorBidi" w:hAnsiTheme="majorBidi" w:cstheme="majorBidi"/>
          <w:sz w:val="24"/>
          <w:szCs w:val="24"/>
          <w:lang w:val="en-US"/>
        </w:rPr>
      </w:pPr>
    </w:p>
    <w:p w14:paraId="0EED3CB4" w14:textId="77777777" w:rsidR="00301E90" w:rsidRPr="00AF048D" w:rsidRDefault="00301E90" w:rsidP="00AB732B">
      <w:pPr>
        <w:jc w:val="center"/>
        <w:rPr>
          <w:rFonts w:asciiTheme="majorBidi" w:hAnsiTheme="majorBidi" w:cstheme="majorBidi"/>
          <w:b/>
          <w:bCs/>
          <w:sz w:val="12"/>
          <w:szCs w:val="12"/>
          <w:lang w:val="en-US"/>
        </w:rPr>
      </w:pPr>
    </w:p>
    <w:p w14:paraId="49137E43" w14:textId="6F74CEA9" w:rsidR="00301E90" w:rsidRPr="008343CF" w:rsidRDefault="00A269B7" w:rsidP="008343CF">
      <w:pPr>
        <w:jc w:val="center"/>
        <w:rPr>
          <w:rStyle w:val="Strong"/>
          <w:rFonts w:asciiTheme="majorBidi" w:hAnsiTheme="majorBidi" w:cstheme="majorBidi"/>
          <w:sz w:val="24"/>
          <w:szCs w:val="24"/>
          <w:lang w:val="en-US"/>
        </w:rPr>
        <w:sectPr w:rsidR="00301E90" w:rsidRPr="008343CF" w:rsidSect="00B77DBC">
          <w:type w:val="continuous"/>
          <w:pgSz w:w="11906" w:h="16838"/>
          <w:pgMar w:top="1134" w:right="1134" w:bottom="1134" w:left="1134" w:header="709" w:footer="709" w:gutter="0"/>
          <w:cols w:space="454"/>
          <w:titlePg/>
          <w:docGrid w:linePitch="360"/>
        </w:sectPr>
      </w:pPr>
      <w:r w:rsidRPr="00A269B7">
        <w:rPr>
          <w:rFonts w:asciiTheme="majorBidi" w:hAnsiTheme="majorBidi" w:cstheme="majorBidi"/>
          <w:b/>
          <w:bCs/>
          <w:sz w:val="24"/>
          <w:szCs w:val="24"/>
        </w:rPr>
        <w:t>Figure 3:Anti-Viral IgM Levels (U/mL) according to Gender</w:t>
      </w:r>
      <w:r w:rsidRPr="00A269B7">
        <w:rPr>
          <w:rFonts w:asciiTheme="majorBidi" w:hAnsiTheme="majorBidi" w:cstheme="majorBidi"/>
          <w:b/>
          <w:bCs/>
          <w:sz w:val="24"/>
          <w:szCs w:val="24"/>
          <w:lang w:val="en-US"/>
        </w:rPr>
        <w:t>.</w:t>
      </w:r>
    </w:p>
    <w:p w14:paraId="232EAE0F" w14:textId="0B14D839" w:rsidR="00CB5FD0" w:rsidRDefault="00CB5FD0" w:rsidP="00AB732B">
      <w:pPr>
        <w:jc w:val="both"/>
        <w:rPr>
          <w:rStyle w:val="Strong"/>
          <w:rFonts w:asciiTheme="majorBidi" w:hAnsiTheme="majorBidi" w:cstheme="majorBidi"/>
          <w:b w:val="0"/>
          <w:bCs w:val="0"/>
          <w:color w:val="404040"/>
          <w:sz w:val="28"/>
          <w:szCs w:val="28"/>
          <w:lang w:val="en-US"/>
        </w:rPr>
        <w:sectPr w:rsidR="00CB5FD0" w:rsidSect="00B77DBC">
          <w:type w:val="continuous"/>
          <w:pgSz w:w="11906" w:h="16838"/>
          <w:pgMar w:top="1134" w:right="1134" w:bottom="1134" w:left="1134" w:header="340" w:footer="510" w:gutter="0"/>
          <w:cols w:space="454"/>
          <w:titlePg/>
          <w:docGrid w:linePitch="360"/>
        </w:sectPr>
      </w:pPr>
    </w:p>
    <w:p w14:paraId="41CA22A1" w14:textId="0E2A9974" w:rsidR="00CB5FD0" w:rsidRDefault="008343CF" w:rsidP="00CB5FD0">
      <w:pPr>
        <w:jc w:val="both"/>
        <w:rPr>
          <w:rStyle w:val="Strong"/>
          <w:rFonts w:asciiTheme="majorBidi" w:hAnsiTheme="majorBidi" w:cstheme="majorBidi"/>
          <w:b w:val="0"/>
          <w:bCs w:val="0"/>
          <w:color w:val="404040"/>
          <w:sz w:val="24"/>
          <w:szCs w:val="24"/>
          <w:lang w:val="en-US"/>
        </w:rPr>
      </w:pPr>
      <w:r>
        <w:rPr>
          <w:rStyle w:val="Strong"/>
          <w:rFonts w:asciiTheme="majorBidi" w:hAnsiTheme="majorBidi" w:cstheme="majorBidi"/>
          <w:b w:val="0"/>
          <w:bCs w:val="0"/>
          <w:color w:val="404040"/>
          <w:sz w:val="24"/>
          <w:szCs w:val="24"/>
          <w:lang w:val="en-US"/>
        </w:rPr>
        <w:t xml:space="preserve">     </w:t>
      </w:r>
      <w:r w:rsidR="00140DC1">
        <w:rPr>
          <w:rStyle w:val="Strong"/>
          <w:rFonts w:asciiTheme="majorBidi" w:hAnsiTheme="majorBidi" w:cstheme="majorBidi"/>
          <w:b w:val="0"/>
          <w:bCs w:val="0"/>
          <w:color w:val="404040"/>
          <w:sz w:val="24"/>
          <w:szCs w:val="24"/>
          <w:lang w:val="en-US"/>
        </w:rPr>
        <w:t xml:space="preserve"> </w:t>
      </w:r>
      <w:r w:rsidR="004A6D6C" w:rsidRPr="00301E90">
        <w:rPr>
          <w:rStyle w:val="Strong"/>
          <w:rFonts w:asciiTheme="majorBidi" w:hAnsiTheme="majorBidi" w:cstheme="majorBidi"/>
          <w:b w:val="0"/>
          <w:bCs w:val="0"/>
          <w:color w:val="404040"/>
          <w:sz w:val="24"/>
          <w:szCs w:val="24"/>
        </w:rPr>
        <w:t>The results showed higher cytokine levels in the diseased groups across all age groups compared to the control group. Cytokines were significantly higher in those infected with influenza compared to those infected with parainfluenza and rhinovirus. Elderly individuals (&gt;65 years) have higher levels of cytokines, causing a more severe cytokine storm. IL-6 is higher in all age groups across various viral infections, as IL-6 is secreted in large quantities by immune cells (such as macrophages and T cells) as an initial response to viral infection. This increases inflammation and stimulates the production of acute-phase proteins (such as CRP), exacerbating the storm. This is Compatible with the study by (Jarczak and Nierhaus</w:t>
      </w:r>
      <w:r w:rsidR="00140DC1">
        <w:rPr>
          <w:rStyle w:val="Strong"/>
          <w:rFonts w:asciiTheme="majorBidi" w:hAnsiTheme="majorBidi" w:cstheme="majorBidi"/>
          <w:b w:val="0"/>
          <w:bCs w:val="0"/>
          <w:color w:val="404040"/>
          <w:sz w:val="24"/>
          <w:szCs w:val="24"/>
          <w:lang w:val="en-US"/>
        </w:rPr>
        <w:t xml:space="preserve">, </w:t>
      </w:r>
      <w:r w:rsidR="004A6D6C" w:rsidRPr="00301E90">
        <w:rPr>
          <w:rStyle w:val="Strong"/>
          <w:rFonts w:asciiTheme="majorBidi" w:hAnsiTheme="majorBidi" w:cstheme="majorBidi"/>
          <w:b w:val="0"/>
          <w:bCs w:val="0"/>
          <w:color w:val="404040"/>
          <w:sz w:val="24"/>
          <w:szCs w:val="24"/>
        </w:rPr>
        <w:t>2022)</w:t>
      </w:r>
      <w:r w:rsidR="004A6D6C" w:rsidRPr="00301E90">
        <w:rPr>
          <w:rStyle w:val="Strong"/>
          <w:rFonts w:asciiTheme="majorBidi" w:hAnsiTheme="majorBidi" w:cstheme="majorBidi"/>
          <w:b w:val="0"/>
          <w:bCs w:val="0"/>
          <w:color w:val="404040"/>
          <w:sz w:val="24"/>
          <w:szCs w:val="24"/>
          <w:vertAlign w:val="superscript"/>
        </w:rPr>
        <w:t>18</w:t>
      </w:r>
      <w:r w:rsidR="004A6D6C" w:rsidRPr="00301E90">
        <w:rPr>
          <w:rStyle w:val="Strong"/>
          <w:rFonts w:asciiTheme="majorBidi" w:hAnsiTheme="majorBidi" w:cstheme="majorBidi"/>
          <w:b w:val="0"/>
          <w:bCs w:val="0"/>
          <w:color w:val="404040"/>
          <w:sz w:val="24"/>
          <w:szCs w:val="24"/>
        </w:rPr>
        <w:t xml:space="preserve">, who confirmed that IL6 is an inflammatory stimulant released as an initial response and may cause a cytokine storm. This was also confirmed by (Elbadawy </w:t>
      </w:r>
      <w:r w:rsidR="004A6D6C" w:rsidRPr="00301E90">
        <w:rPr>
          <w:rStyle w:val="Strong"/>
          <w:rFonts w:asciiTheme="majorBidi" w:hAnsiTheme="majorBidi" w:cstheme="majorBidi"/>
          <w:b w:val="0"/>
          <w:bCs w:val="0"/>
          <w:i/>
          <w:iCs/>
          <w:color w:val="404040"/>
          <w:sz w:val="24"/>
          <w:szCs w:val="24"/>
        </w:rPr>
        <w:t>et al,</w:t>
      </w:r>
      <w:r w:rsidR="004A6D6C" w:rsidRPr="00301E90">
        <w:rPr>
          <w:rStyle w:val="Strong"/>
          <w:rFonts w:asciiTheme="majorBidi" w:hAnsiTheme="majorBidi" w:cstheme="majorBidi"/>
          <w:b w:val="0"/>
          <w:bCs w:val="0"/>
          <w:color w:val="404040"/>
          <w:sz w:val="24"/>
          <w:szCs w:val="24"/>
        </w:rPr>
        <w:t xml:space="preserve"> 2023)</w:t>
      </w:r>
      <w:r w:rsidR="004A6D6C" w:rsidRPr="00301E90">
        <w:rPr>
          <w:rStyle w:val="Strong"/>
          <w:rFonts w:asciiTheme="majorBidi" w:hAnsiTheme="majorBidi" w:cstheme="majorBidi"/>
          <w:b w:val="0"/>
          <w:bCs w:val="0"/>
          <w:color w:val="404040"/>
          <w:sz w:val="24"/>
          <w:szCs w:val="24"/>
          <w:vertAlign w:val="superscript"/>
        </w:rPr>
        <w:t>19</w:t>
      </w:r>
      <w:r w:rsidR="004A6D6C" w:rsidRPr="00301E90">
        <w:rPr>
          <w:rStyle w:val="Strong"/>
          <w:rFonts w:asciiTheme="majorBidi" w:hAnsiTheme="majorBidi" w:cstheme="majorBidi"/>
          <w:b w:val="0"/>
          <w:bCs w:val="0"/>
          <w:color w:val="404040"/>
          <w:sz w:val="24"/>
          <w:szCs w:val="24"/>
        </w:rPr>
        <w:t xml:space="preserve">, who indicated that IL6 is the center of the cytokines that cause the cytokine storm. Cytokine storms are often more severe in the elderly, as confirmed by the results of our current study. This may be due to immunosenescence, which leads to a decrease in the efficiency of T cells and macrophages, causing the body to compensate by secreting excessive cytokines. This is what (Liu </w:t>
      </w:r>
      <w:r w:rsidR="004A6D6C" w:rsidRPr="00301E90">
        <w:rPr>
          <w:rStyle w:val="Strong"/>
          <w:rFonts w:asciiTheme="majorBidi" w:hAnsiTheme="majorBidi" w:cstheme="majorBidi"/>
          <w:b w:val="0"/>
          <w:bCs w:val="0"/>
          <w:i/>
          <w:iCs/>
          <w:color w:val="404040"/>
          <w:sz w:val="24"/>
          <w:szCs w:val="24"/>
        </w:rPr>
        <w:t>et al .,</w:t>
      </w:r>
      <w:r w:rsidR="004A6D6C" w:rsidRPr="00301E90">
        <w:rPr>
          <w:rStyle w:val="Strong"/>
          <w:rFonts w:asciiTheme="majorBidi" w:hAnsiTheme="majorBidi" w:cstheme="majorBidi"/>
          <w:b w:val="0"/>
          <w:bCs w:val="0"/>
          <w:color w:val="404040"/>
          <w:sz w:val="24"/>
          <w:szCs w:val="24"/>
        </w:rPr>
        <w:t>2023)</w:t>
      </w:r>
      <w:r w:rsidR="004A6D6C" w:rsidRPr="00301E90">
        <w:rPr>
          <w:rStyle w:val="Strong"/>
          <w:rFonts w:asciiTheme="majorBidi" w:hAnsiTheme="majorBidi" w:cstheme="majorBidi"/>
          <w:b w:val="0"/>
          <w:bCs w:val="0"/>
          <w:color w:val="404040"/>
          <w:sz w:val="24"/>
          <w:szCs w:val="24"/>
          <w:vertAlign w:val="superscript"/>
        </w:rPr>
        <w:t>20</w:t>
      </w:r>
      <w:r w:rsidR="004A6D6C" w:rsidRPr="00301E90">
        <w:rPr>
          <w:rStyle w:val="Strong"/>
          <w:rFonts w:asciiTheme="majorBidi" w:hAnsiTheme="majorBidi" w:cstheme="majorBidi"/>
          <w:b w:val="0"/>
          <w:bCs w:val="0"/>
          <w:color w:val="404040"/>
          <w:sz w:val="24"/>
          <w:szCs w:val="24"/>
        </w:rPr>
        <w:t xml:space="preserve"> and (Teissier </w:t>
      </w:r>
      <w:r w:rsidR="004A6D6C" w:rsidRPr="00301E90">
        <w:rPr>
          <w:rStyle w:val="Strong"/>
          <w:rFonts w:asciiTheme="majorBidi" w:hAnsiTheme="majorBidi" w:cstheme="majorBidi"/>
          <w:b w:val="0"/>
          <w:bCs w:val="0"/>
          <w:i/>
          <w:iCs/>
          <w:color w:val="404040"/>
          <w:sz w:val="24"/>
          <w:szCs w:val="24"/>
        </w:rPr>
        <w:t>et al .,</w:t>
      </w:r>
      <w:r w:rsidR="004A6D6C" w:rsidRPr="00301E90">
        <w:rPr>
          <w:rStyle w:val="Strong"/>
          <w:rFonts w:asciiTheme="majorBidi" w:hAnsiTheme="majorBidi" w:cstheme="majorBidi"/>
          <w:b w:val="0"/>
          <w:bCs w:val="0"/>
          <w:color w:val="404040"/>
          <w:sz w:val="24"/>
          <w:szCs w:val="24"/>
        </w:rPr>
        <w:t>2022)</w:t>
      </w:r>
      <w:r w:rsidR="004A6D6C" w:rsidRPr="00301E90">
        <w:rPr>
          <w:rStyle w:val="Strong"/>
          <w:rFonts w:asciiTheme="majorBidi" w:hAnsiTheme="majorBidi" w:cstheme="majorBidi"/>
          <w:b w:val="0"/>
          <w:bCs w:val="0"/>
          <w:color w:val="404040"/>
          <w:sz w:val="24"/>
          <w:szCs w:val="24"/>
          <w:vertAlign w:val="superscript"/>
        </w:rPr>
        <w:t>21</w:t>
      </w:r>
      <w:r w:rsidR="004A6D6C" w:rsidRPr="00301E90">
        <w:rPr>
          <w:rStyle w:val="Strong"/>
          <w:rFonts w:asciiTheme="majorBidi" w:hAnsiTheme="majorBidi" w:cstheme="majorBidi"/>
          <w:b w:val="0"/>
          <w:bCs w:val="0"/>
          <w:color w:val="404040"/>
          <w:sz w:val="24"/>
          <w:szCs w:val="24"/>
        </w:rPr>
        <w:t xml:space="preserve"> mentioned in their studies, which indicated the relationship between age and immune aging. In my opinion, the accumulation of chronic inflammation with age (inflammaging) increases the susceptibility to an overreaction. Weak immune regulation reduces the body's ability to suppress excessive cytokine secretion (such as IL-6 and TNF-α), leading to an uncontrolled storm.</w:t>
      </w:r>
      <w:r w:rsidR="00CB5FD0">
        <w:rPr>
          <w:rStyle w:val="Strong"/>
          <w:rFonts w:asciiTheme="majorBidi" w:hAnsiTheme="majorBidi" w:cstheme="majorBidi"/>
          <w:b w:val="0"/>
          <w:bCs w:val="0"/>
          <w:color w:val="404040"/>
          <w:sz w:val="24"/>
          <w:szCs w:val="24"/>
          <w:lang w:val="en-US"/>
        </w:rPr>
        <w:t xml:space="preserve"> </w:t>
      </w:r>
      <w:r w:rsidR="00CB5FD0" w:rsidRPr="00140DC1">
        <w:rPr>
          <w:rStyle w:val="Strong"/>
          <w:rFonts w:asciiTheme="majorBidi" w:hAnsiTheme="majorBidi" w:cstheme="majorBidi"/>
          <w:color w:val="404040"/>
          <w:sz w:val="24"/>
          <w:szCs w:val="24"/>
          <w:lang w:val="en-US"/>
        </w:rPr>
        <w:t>Table 4.</w:t>
      </w:r>
    </w:p>
    <w:p w14:paraId="71078956" w14:textId="44B61154" w:rsidR="00CB5FD0" w:rsidRDefault="00CB5FD0" w:rsidP="001B2EB9">
      <w:pPr>
        <w:jc w:val="both"/>
        <w:rPr>
          <w:rStyle w:val="Strong"/>
          <w:rFonts w:asciiTheme="majorBidi" w:hAnsiTheme="majorBidi" w:cstheme="majorBidi"/>
          <w:b w:val="0"/>
          <w:bCs w:val="0"/>
          <w:color w:val="404040"/>
          <w:sz w:val="24"/>
          <w:szCs w:val="24"/>
          <w:lang w:val="en-US"/>
        </w:rPr>
        <w:sectPr w:rsidR="00CB5FD0" w:rsidSect="00CB5FD0">
          <w:type w:val="continuous"/>
          <w:pgSz w:w="11906" w:h="16838"/>
          <w:pgMar w:top="1134" w:right="1134" w:bottom="1134" w:left="1134" w:header="340" w:footer="510" w:gutter="0"/>
          <w:cols w:num="2" w:space="454"/>
          <w:titlePg/>
          <w:docGrid w:linePitch="360"/>
        </w:sectPr>
      </w:pPr>
      <w:r w:rsidRPr="00CB5FD0">
        <w:rPr>
          <w:rStyle w:val="Strong"/>
          <w:rFonts w:asciiTheme="majorBidi" w:hAnsiTheme="majorBidi" w:cstheme="majorBidi"/>
          <w:b w:val="0"/>
          <w:bCs w:val="0"/>
          <w:color w:val="404040"/>
          <w:sz w:val="24"/>
          <w:szCs w:val="24"/>
          <w:lang w:val="en-US"/>
        </w:rPr>
        <w:lastRenderedPageBreak/>
        <w:t xml:space="preserve">   </w:t>
      </w:r>
      <w:r w:rsidRPr="00CB5FD0">
        <w:rPr>
          <w:rFonts w:asciiTheme="majorBidi" w:hAnsiTheme="majorBidi" w:cstheme="majorBidi"/>
          <w:sz w:val="24"/>
          <w:szCs w:val="24"/>
        </w:rPr>
        <w:t>While adults (18-65 years old) have a well-developed immune system and are better able to regulate cytokines, they can sometimes exhibit severe reactions, especially when infected with the influenza virus, as our current study demonstrated. We also noted that IL6 is the highest, as it is considered a primary immune response. TNF is also a dangerous cytokine that causes a cytokine storm, as it directly damages tissue. This is Compatible with a  study by (Gupta</w:t>
      </w:r>
      <w:r w:rsidRPr="00CB5FD0">
        <w:rPr>
          <w:rFonts w:asciiTheme="majorBidi" w:hAnsiTheme="majorBidi" w:cstheme="majorBidi"/>
          <w:i/>
          <w:iCs/>
          <w:sz w:val="24"/>
          <w:szCs w:val="24"/>
        </w:rPr>
        <w:t xml:space="preserve"> et al ., </w:t>
      </w:r>
      <w:r w:rsidRPr="00CB5FD0">
        <w:rPr>
          <w:rFonts w:asciiTheme="majorBidi" w:hAnsiTheme="majorBidi" w:cstheme="majorBidi"/>
          <w:sz w:val="24"/>
          <w:szCs w:val="24"/>
        </w:rPr>
        <w:t>2020)</w:t>
      </w:r>
      <w:r w:rsidRPr="00CB5FD0">
        <w:rPr>
          <w:rFonts w:asciiTheme="majorBidi" w:hAnsiTheme="majorBidi" w:cstheme="majorBidi"/>
          <w:sz w:val="24"/>
          <w:szCs w:val="24"/>
          <w:vertAlign w:val="superscript"/>
        </w:rPr>
        <w:t>22</w:t>
      </w:r>
      <w:r w:rsidRPr="00CB5FD0">
        <w:rPr>
          <w:rFonts w:asciiTheme="majorBidi" w:hAnsiTheme="majorBidi" w:cstheme="majorBidi"/>
          <w:sz w:val="24"/>
          <w:szCs w:val="24"/>
          <w:rtl/>
        </w:rPr>
        <w:t>.</w:t>
      </w:r>
      <w:r w:rsidR="001B2EB9">
        <w:rPr>
          <w:rFonts w:asciiTheme="majorBidi" w:hAnsiTheme="majorBidi" w:cstheme="majorBidi"/>
          <w:color w:val="404040"/>
          <w:sz w:val="24"/>
          <w:szCs w:val="24"/>
          <w:lang w:val="en-US"/>
        </w:rPr>
        <w:t xml:space="preserve"> </w:t>
      </w:r>
      <w:r w:rsidRPr="00CB5FD0">
        <w:rPr>
          <w:rFonts w:asciiTheme="majorBidi" w:hAnsiTheme="majorBidi"/>
          <w:sz w:val="24"/>
          <w:szCs w:val="24"/>
          <w:lang w:val="en-US"/>
        </w:rPr>
        <w:t>W</w:t>
      </w:r>
      <w:r w:rsidRPr="00CB5FD0">
        <w:rPr>
          <w:rFonts w:asciiTheme="majorBidi" w:hAnsiTheme="majorBidi"/>
          <w:sz w:val="24"/>
          <w:szCs w:val="24"/>
        </w:rPr>
        <w:t xml:space="preserve">ho found that elevated IL6 and TNF levels lead to tissue and organ damage and can even lead to </w:t>
      </w:r>
      <w:r w:rsidRPr="00CB5FD0">
        <w:rPr>
          <w:rFonts w:asciiTheme="majorBidi" w:hAnsiTheme="majorBidi"/>
          <w:sz w:val="24"/>
          <w:szCs w:val="24"/>
        </w:rPr>
        <w:t>death. The age group under 18 years is considered the least exposed to the cytokine storm according to the results obtained from the study.</w:t>
      </w:r>
      <w:r w:rsidRPr="00CB5FD0">
        <w:rPr>
          <w:rFonts w:asciiTheme="majorBidi" w:hAnsiTheme="majorBidi" w:hint="cs"/>
          <w:sz w:val="24"/>
          <w:szCs w:val="24"/>
          <w:rtl/>
        </w:rPr>
        <w:t xml:space="preserve"> </w:t>
      </w:r>
      <w:r w:rsidRPr="00CB5FD0">
        <w:rPr>
          <w:rFonts w:asciiTheme="majorBidi" w:hAnsiTheme="majorBidi"/>
          <w:sz w:val="24"/>
          <w:szCs w:val="24"/>
        </w:rPr>
        <w:t xml:space="preserve"> This may be due to several reasons, including that the immune system at this stage is flexible and quickly adapts and has the ability to balance inflammation. Also,</w:t>
      </w:r>
      <w:r w:rsidRPr="00CB5FD0">
        <w:rPr>
          <w:rFonts w:asciiTheme="majorBidi" w:hAnsiTheme="majorBidi"/>
          <w:sz w:val="24"/>
          <w:szCs w:val="24"/>
          <w:lang w:val="en-US"/>
        </w:rPr>
        <w:t xml:space="preserve"> </w:t>
      </w:r>
      <w:r w:rsidRPr="00CB5FD0">
        <w:rPr>
          <w:rFonts w:asciiTheme="majorBidi" w:hAnsiTheme="majorBidi"/>
          <w:sz w:val="24"/>
          <w:szCs w:val="24"/>
        </w:rPr>
        <w:t>children’s tissues are more resistant to damage resulting from the non-inflammatory response of the immune system compared to the elderly. These results are consistent with (Crohn’s</w:t>
      </w:r>
      <w:r w:rsidRPr="00CB5FD0">
        <w:rPr>
          <w:rFonts w:asciiTheme="majorBidi" w:hAnsiTheme="majorBidi"/>
          <w:i/>
          <w:iCs/>
          <w:sz w:val="24"/>
          <w:szCs w:val="24"/>
        </w:rPr>
        <w:t xml:space="preserve"> et al .,</w:t>
      </w:r>
      <w:r w:rsidRPr="00CB5FD0">
        <w:rPr>
          <w:rFonts w:asciiTheme="majorBidi" w:hAnsiTheme="majorBidi"/>
          <w:sz w:val="24"/>
          <w:szCs w:val="24"/>
        </w:rPr>
        <w:t>2023)</w:t>
      </w:r>
      <w:r w:rsidRPr="00CB5FD0">
        <w:rPr>
          <w:rFonts w:asciiTheme="majorBidi" w:hAnsiTheme="majorBidi"/>
          <w:sz w:val="24"/>
          <w:szCs w:val="24"/>
          <w:vertAlign w:val="superscript"/>
        </w:rPr>
        <w:t>23</w:t>
      </w:r>
      <w:r w:rsidRPr="00CB5FD0">
        <w:rPr>
          <w:rFonts w:asciiTheme="majorBidi" w:hAnsiTheme="majorBidi"/>
          <w:sz w:val="24"/>
          <w:szCs w:val="24"/>
        </w:rPr>
        <w:t>.</w:t>
      </w:r>
      <w:r w:rsidRPr="00CB5FD0">
        <w:rPr>
          <w:rFonts w:asciiTheme="majorBidi" w:hAnsiTheme="majorBidi"/>
          <w:b/>
          <w:bCs/>
          <w:sz w:val="24"/>
          <w:szCs w:val="24"/>
          <w:lang w:val="en-US"/>
        </w:rPr>
        <w:t>Figure4</w:t>
      </w:r>
      <w:r w:rsidR="001B2EB9">
        <w:rPr>
          <w:rFonts w:asciiTheme="majorBidi" w:hAnsiTheme="majorBidi"/>
          <w:b/>
          <w:bCs/>
          <w:sz w:val="24"/>
          <w:szCs w:val="24"/>
          <w:lang w:val="en-US"/>
        </w:rPr>
        <w:t>.</w:t>
      </w:r>
    </w:p>
    <w:p w14:paraId="742DB96A" w14:textId="0BDFA3F7" w:rsidR="004A6D6C" w:rsidRPr="00A269B7" w:rsidRDefault="004A6D6C" w:rsidP="00AB732B">
      <w:pPr>
        <w:pStyle w:val="Heading3"/>
        <w:shd w:val="clear" w:color="auto" w:fill="FFFFFF"/>
        <w:spacing w:before="274" w:after="206"/>
        <w:rPr>
          <w:rFonts w:asciiTheme="majorBidi" w:hAnsiTheme="majorBidi"/>
          <w:b w:val="0"/>
          <w:bCs w:val="0"/>
          <w:color w:val="404040"/>
          <w:sz w:val="24"/>
          <w:szCs w:val="24"/>
          <w:lang w:val="en-US"/>
        </w:rPr>
      </w:pPr>
      <w:r w:rsidRPr="00A86443">
        <w:rPr>
          <w:rStyle w:val="Strong"/>
          <w:rFonts w:asciiTheme="majorBidi" w:hAnsiTheme="majorBidi"/>
          <w:b/>
          <w:bCs/>
          <w:color w:val="404040"/>
          <w:sz w:val="24"/>
          <w:szCs w:val="24"/>
        </w:rPr>
        <w:t>Table 4: Serum Cytokine Levels (pg/mL) according age groups</w:t>
      </w:r>
      <w:r w:rsidR="00A269B7">
        <w:rPr>
          <w:rStyle w:val="Strong"/>
          <w:rFonts w:asciiTheme="majorBidi" w:hAnsiTheme="majorBidi"/>
          <w:b/>
          <w:bCs/>
          <w:color w:val="404040"/>
          <w:sz w:val="24"/>
          <w:szCs w:val="24"/>
          <w:lang w:val="en-US"/>
        </w:rPr>
        <w:t>.</w:t>
      </w:r>
    </w:p>
    <w:tbl>
      <w:tblPr>
        <w:tblStyle w:val="TableGrid"/>
        <w:tblW w:w="10141" w:type="dxa"/>
        <w:tblInd w:w="-176" w:type="dxa"/>
        <w:tblLayout w:type="fixed"/>
        <w:tblLook w:val="04A0" w:firstRow="1" w:lastRow="0" w:firstColumn="1" w:lastColumn="0" w:noHBand="0" w:noVBand="1"/>
      </w:tblPr>
      <w:tblGrid>
        <w:gridCol w:w="871"/>
        <w:gridCol w:w="871"/>
        <w:gridCol w:w="1445"/>
        <w:gridCol w:w="871"/>
        <w:gridCol w:w="1594"/>
        <w:gridCol w:w="871"/>
        <w:gridCol w:w="1266"/>
        <w:gridCol w:w="727"/>
        <w:gridCol w:w="1625"/>
      </w:tblGrid>
      <w:tr w:rsidR="00301E90" w:rsidRPr="00AF048D" w14:paraId="564C3FB7" w14:textId="77777777" w:rsidTr="008343CF">
        <w:trPr>
          <w:cantSplit/>
          <w:trHeight w:val="1397"/>
        </w:trPr>
        <w:tc>
          <w:tcPr>
            <w:tcW w:w="871" w:type="dxa"/>
            <w:shd w:val="clear" w:color="auto" w:fill="E7E6E6" w:themeFill="background2"/>
            <w:hideMark/>
          </w:tcPr>
          <w:p w14:paraId="192F013C"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Age Group</w:t>
            </w:r>
          </w:p>
        </w:tc>
        <w:tc>
          <w:tcPr>
            <w:tcW w:w="871" w:type="dxa"/>
            <w:shd w:val="clear" w:color="auto" w:fill="E7E6E6" w:themeFill="background2"/>
            <w:textDirection w:val="btLr"/>
            <w:hideMark/>
          </w:tcPr>
          <w:p w14:paraId="3B4F19AA"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Cytokine</w:t>
            </w:r>
          </w:p>
        </w:tc>
        <w:tc>
          <w:tcPr>
            <w:tcW w:w="1445" w:type="dxa"/>
            <w:shd w:val="clear" w:color="auto" w:fill="E7E6E6" w:themeFill="background2"/>
            <w:textDirection w:val="btLr"/>
            <w:hideMark/>
          </w:tcPr>
          <w:p w14:paraId="64985171"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Influenza (Mean±SD)</w:t>
            </w:r>
            <w:r w:rsidRPr="00AF048D">
              <w:rPr>
                <w:rStyle w:val="Strong"/>
                <w:rFonts w:asciiTheme="majorBidi" w:hAnsiTheme="majorBidi" w:cstheme="majorBidi"/>
                <w:color w:val="404040"/>
              </w:rPr>
              <w:t xml:space="preserve"> </w:t>
            </w:r>
            <w:r w:rsidRPr="00AF048D">
              <w:rPr>
                <w:rStyle w:val="Strong"/>
                <w:rFonts w:asciiTheme="majorBidi" w:hAnsiTheme="majorBidi" w:cstheme="majorBidi"/>
              </w:rPr>
              <w:t>Levels (pg/mL)</w:t>
            </w:r>
          </w:p>
        </w:tc>
        <w:tc>
          <w:tcPr>
            <w:tcW w:w="871" w:type="dxa"/>
            <w:shd w:val="clear" w:color="auto" w:fill="E7E6E6" w:themeFill="background2"/>
            <w:textDirection w:val="btLr"/>
            <w:hideMark/>
          </w:tcPr>
          <w:p w14:paraId="42794F37"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p-value</w:t>
            </w:r>
          </w:p>
        </w:tc>
        <w:tc>
          <w:tcPr>
            <w:tcW w:w="1594" w:type="dxa"/>
            <w:shd w:val="clear" w:color="auto" w:fill="E7E6E6" w:themeFill="background2"/>
            <w:textDirection w:val="btLr"/>
            <w:hideMark/>
          </w:tcPr>
          <w:p w14:paraId="42E0D1CA"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Parainfluenza (Mean±SD)</w:t>
            </w:r>
            <w:r w:rsidRPr="00AF048D">
              <w:rPr>
                <w:rStyle w:val="Strong"/>
                <w:rFonts w:asciiTheme="majorBidi" w:hAnsiTheme="majorBidi" w:cstheme="majorBidi"/>
              </w:rPr>
              <w:t xml:space="preserve"> Levels (pg/mL)</w:t>
            </w:r>
          </w:p>
        </w:tc>
        <w:tc>
          <w:tcPr>
            <w:tcW w:w="871" w:type="dxa"/>
            <w:shd w:val="clear" w:color="auto" w:fill="E7E6E6" w:themeFill="background2"/>
            <w:textDirection w:val="btLr"/>
            <w:hideMark/>
          </w:tcPr>
          <w:p w14:paraId="45DCFFEF"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p-value</w:t>
            </w:r>
          </w:p>
        </w:tc>
        <w:tc>
          <w:tcPr>
            <w:tcW w:w="1266" w:type="dxa"/>
            <w:shd w:val="clear" w:color="auto" w:fill="E7E6E6" w:themeFill="background2"/>
            <w:textDirection w:val="btLr"/>
            <w:hideMark/>
          </w:tcPr>
          <w:p w14:paraId="4A534D97"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Rhinovirus (Mean±SD)</w:t>
            </w:r>
            <w:r w:rsidRPr="00AF048D">
              <w:rPr>
                <w:rStyle w:val="Strong"/>
                <w:rFonts w:asciiTheme="majorBidi" w:hAnsiTheme="majorBidi" w:cstheme="majorBidi"/>
              </w:rPr>
              <w:t xml:space="preserve"> Levels (pg/mL)</w:t>
            </w:r>
          </w:p>
        </w:tc>
        <w:tc>
          <w:tcPr>
            <w:tcW w:w="727" w:type="dxa"/>
            <w:shd w:val="clear" w:color="auto" w:fill="E7E6E6" w:themeFill="background2"/>
            <w:textDirection w:val="btLr"/>
            <w:hideMark/>
          </w:tcPr>
          <w:p w14:paraId="78D4648E"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p-value</w:t>
            </w:r>
          </w:p>
        </w:tc>
        <w:tc>
          <w:tcPr>
            <w:tcW w:w="1625" w:type="dxa"/>
            <w:shd w:val="clear" w:color="auto" w:fill="E7E6E6" w:themeFill="background2"/>
            <w:textDirection w:val="btLr"/>
            <w:hideMark/>
          </w:tcPr>
          <w:p w14:paraId="07229F77" w14:textId="77777777" w:rsidR="004A6D6C" w:rsidRPr="00AF048D" w:rsidRDefault="004A6D6C" w:rsidP="00AB732B">
            <w:pPr>
              <w:spacing w:after="0" w:line="240" w:lineRule="auto"/>
              <w:ind w:left="113" w:right="113"/>
              <w:jc w:val="center"/>
              <w:rPr>
                <w:rFonts w:asciiTheme="majorBidi" w:hAnsiTheme="majorBidi" w:cstheme="majorBidi"/>
                <w:b/>
                <w:bCs/>
              </w:rPr>
            </w:pPr>
            <w:r w:rsidRPr="00AF048D">
              <w:rPr>
                <w:rFonts w:asciiTheme="majorBidi" w:hAnsiTheme="majorBidi" w:cstheme="majorBidi"/>
                <w:b/>
                <w:bCs/>
              </w:rPr>
              <w:t>Control (Mean±SD)</w:t>
            </w:r>
            <w:r w:rsidRPr="00AF048D">
              <w:rPr>
                <w:rStyle w:val="Strong"/>
                <w:rFonts w:asciiTheme="majorBidi" w:hAnsiTheme="majorBidi" w:cstheme="majorBidi"/>
              </w:rPr>
              <w:t xml:space="preserve"> Levels (pg/mL)</w:t>
            </w:r>
          </w:p>
        </w:tc>
      </w:tr>
      <w:tr w:rsidR="00301E90" w:rsidRPr="00AF048D" w14:paraId="567EF092" w14:textId="77777777" w:rsidTr="00D72557">
        <w:trPr>
          <w:trHeight w:val="437"/>
        </w:trPr>
        <w:tc>
          <w:tcPr>
            <w:tcW w:w="871" w:type="dxa"/>
            <w:vMerge w:val="restart"/>
            <w:hideMark/>
          </w:tcPr>
          <w:p w14:paraId="4635451E" w14:textId="42B929D2"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&lt;18</w:t>
            </w:r>
          </w:p>
        </w:tc>
        <w:tc>
          <w:tcPr>
            <w:tcW w:w="871" w:type="dxa"/>
            <w:hideMark/>
          </w:tcPr>
          <w:p w14:paraId="04A9707C"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IL-6</w:t>
            </w:r>
          </w:p>
        </w:tc>
        <w:tc>
          <w:tcPr>
            <w:tcW w:w="1445" w:type="dxa"/>
            <w:hideMark/>
          </w:tcPr>
          <w:p w14:paraId="734CFDB1"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88±11</w:t>
            </w:r>
          </w:p>
        </w:tc>
        <w:tc>
          <w:tcPr>
            <w:tcW w:w="871" w:type="dxa"/>
            <w:hideMark/>
          </w:tcPr>
          <w:p w14:paraId="6BAD556D"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73B3269D"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65±11</w:t>
            </w:r>
          </w:p>
        </w:tc>
        <w:tc>
          <w:tcPr>
            <w:tcW w:w="871" w:type="dxa"/>
            <w:hideMark/>
          </w:tcPr>
          <w:p w14:paraId="3ADD4428"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266" w:type="dxa"/>
            <w:hideMark/>
          </w:tcPr>
          <w:p w14:paraId="558C746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38±9</w:t>
            </w:r>
          </w:p>
        </w:tc>
        <w:tc>
          <w:tcPr>
            <w:tcW w:w="727" w:type="dxa"/>
            <w:hideMark/>
          </w:tcPr>
          <w:p w14:paraId="085A139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0.013</w:t>
            </w:r>
          </w:p>
        </w:tc>
        <w:tc>
          <w:tcPr>
            <w:tcW w:w="1625" w:type="dxa"/>
            <w:hideMark/>
          </w:tcPr>
          <w:p w14:paraId="02AD8975"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11±3</w:t>
            </w:r>
          </w:p>
        </w:tc>
      </w:tr>
      <w:tr w:rsidR="00301E90" w:rsidRPr="00AF048D" w14:paraId="152E4253" w14:textId="77777777" w:rsidTr="00D72557">
        <w:trPr>
          <w:trHeight w:val="260"/>
        </w:trPr>
        <w:tc>
          <w:tcPr>
            <w:tcW w:w="871" w:type="dxa"/>
            <w:vMerge/>
            <w:hideMark/>
          </w:tcPr>
          <w:p w14:paraId="5EDFEB2E" w14:textId="77777777" w:rsidR="004A6D6C" w:rsidRPr="00AF048D" w:rsidRDefault="004A6D6C" w:rsidP="00AB732B">
            <w:pPr>
              <w:spacing w:after="0" w:line="240" w:lineRule="auto"/>
              <w:jc w:val="center"/>
              <w:rPr>
                <w:rFonts w:asciiTheme="majorBidi" w:hAnsiTheme="majorBidi" w:cstheme="majorBidi"/>
                <w:b/>
                <w:bCs/>
              </w:rPr>
            </w:pPr>
          </w:p>
        </w:tc>
        <w:tc>
          <w:tcPr>
            <w:tcW w:w="871" w:type="dxa"/>
            <w:hideMark/>
          </w:tcPr>
          <w:p w14:paraId="4F4E21E5"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TNF-α</w:t>
            </w:r>
          </w:p>
        </w:tc>
        <w:tc>
          <w:tcPr>
            <w:tcW w:w="1445" w:type="dxa"/>
            <w:hideMark/>
          </w:tcPr>
          <w:p w14:paraId="0377346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48±8</w:t>
            </w:r>
          </w:p>
        </w:tc>
        <w:tc>
          <w:tcPr>
            <w:tcW w:w="871" w:type="dxa"/>
            <w:hideMark/>
          </w:tcPr>
          <w:p w14:paraId="0F21D73E"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204B231E"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40±7</w:t>
            </w:r>
          </w:p>
        </w:tc>
        <w:tc>
          <w:tcPr>
            <w:tcW w:w="871" w:type="dxa"/>
            <w:hideMark/>
          </w:tcPr>
          <w:p w14:paraId="7D8EF53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266" w:type="dxa"/>
            <w:hideMark/>
          </w:tcPr>
          <w:p w14:paraId="7062051C"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25±6</w:t>
            </w:r>
          </w:p>
        </w:tc>
        <w:tc>
          <w:tcPr>
            <w:tcW w:w="727" w:type="dxa"/>
            <w:hideMark/>
          </w:tcPr>
          <w:p w14:paraId="7B6B03F8"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0.031</w:t>
            </w:r>
          </w:p>
        </w:tc>
        <w:tc>
          <w:tcPr>
            <w:tcW w:w="1625" w:type="dxa"/>
            <w:hideMark/>
          </w:tcPr>
          <w:p w14:paraId="53844A9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7±1</w:t>
            </w:r>
          </w:p>
        </w:tc>
      </w:tr>
      <w:tr w:rsidR="00301E90" w:rsidRPr="00AF048D" w14:paraId="6FB9E3AE" w14:textId="77777777" w:rsidTr="00D72557">
        <w:trPr>
          <w:trHeight w:val="253"/>
        </w:trPr>
        <w:tc>
          <w:tcPr>
            <w:tcW w:w="871" w:type="dxa"/>
            <w:vMerge/>
            <w:hideMark/>
          </w:tcPr>
          <w:p w14:paraId="2AB317DC" w14:textId="77777777" w:rsidR="004A6D6C" w:rsidRPr="00AF048D" w:rsidRDefault="004A6D6C" w:rsidP="00AB732B">
            <w:pPr>
              <w:spacing w:after="0" w:line="240" w:lineRule="auto"/>
              <w:jc w:val="center"/>
              <w:rPr>
                <w:rFonts w:asciiTheme="majorBidi" w:hAnsiTheme="majorBidi" w:cstheme="majorBidi"/>
                <w:b/>
                <w:bCs/>
              </w:rPr>
            </w:pPr>
          </w:p>
        </w:tc>
        <w:tc>
          <w:tcPr>
            <w:tcW w:w="871" w:type="dxa"/>
            <w:hideMark/>
          </w:tcPr>
          <w:p w14:paraId="33A7251F"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IL-1β</w:t>
            </w:r>
          </w:p>
        </w:tc>
        <w:tc>
          <w:tcPr>
            <w:tcW w:w="1445" w:type="dxa"/>
            <w:hideMark/>
          </w:tcPr>
          <w:p w14:paraId="2E47D3B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28±5</w:t>
            </w:r>
          </w:p>
        </w:tc>
        <w:tc>
          <w:tcPr>
            <w:tcW w:w="871" w:type="dxa"/>
            <w:hideMark/>
          </w:tcPr>
          <w:p w14:paraId="1491782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2BBA7EBA"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19±4</w:t>
            </w:r>
          </w:p>
        </w:tc>
        <w:tc>
          <w:tcPr>
            <w:tcW w:w="871" w:type="dxa"/>
            <w:hideMark/>
          </w:tcPr>
          <w:p w14:paraId="2C9C7F43"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0.03</w:t>
            </w:r>
          </w:p>
        </w:tc>
        <w:tc>
          <w:tcPr>
            <w:tcW w:w="1266" w:type="dxa"/>
            <w:hideMark/>
          </w:tcPr>
          <w:p w14:paraId="0ACAF11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14±4</w:t>
            </w:r>
          </w:p>
        </w:tc>
        <w:tc>
          <w:tcPr>
            <w:tcW w:w="727" w:type="dxa"/>
            <w:hideMark/>
          </w:tcPr>
          <w:p w14:paraId="268F4789"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0.075</w:t>
            </w:r>
          </w:p>
        </w:tc>
        <w:tc>
          <w:tcPr>
            <w:tcW w:w="1625" w:type="dxa"/>
            <w:hideMark/>
          </w:tcPr>
          <w:p w14:paraId="61B8203E"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6±2</w:t>
            </w:r>
          </w:p>
        </w:tc>
      </w:tr>
      <w:tr w:rsidR="00301E90" w:rsidRPr="00AF048D" w14:paraId="194B506C" w14:textId="77777777" w:rsidTr="00D72557">
        <w:trPr>
          <w:trHeight w:val="363"/>
        </w:trPr>
        <w:tc>
          <w:tcPr>
            <w:tcW w:w="871" w:type="dxa"/>
            <w:vMerge w:val="restart"/>
            <w:hideMark/>
          </w:tcPr>
          <w:p w14:paraId="49607F66" w14:textId="54862452"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18-65</w:t>
            </w:r>
          </w:p>
        </w:tc>
        <w:tc>
          <w:tcPr>
            <w:tcW w:w="871" w:type="dxa"/>
            <w:hideMark/>
          </w:tcPr>
          <w:p w14:paraId="1604493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IL-6</w:t>
            </w:r>
          </w:p>
        </w:tc>
        <w:tc>
          <w:tcPr>
            <w:tcW w:w="1445" w:type="dxa"/>
            <w:hideMark/>
          </w:tcPr>
          <w:p w14:paraId="3D78AE2C"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130±17</w:t>
            </w:r>
          </w:p>
        </w:tc>
        <w:tc>
          <w:tcPr>
            <w:tcW w:w="871" w:type="dxa"/>
            <w:hideMark/>
          </w:tcPr>
          <w:p w14:paraId="59BEB1DD"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03BA4A00"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87±13</w:t>
            </w:r>
          </w:p>
        </w:tc>
        <w:tc>
          <w:tcPr>
            <w:tcW w:w="871" w:type="dxa"/>
            <w:hideMark/>
          </w:tcPr>
          <w:p w14:paraId="1CB585E5"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266" w:type="dxa"/>
            <w:hideMark/>
          </w:tcPr>
          <w:p w14:paraId="7ADE55E3"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42±8</w:t>
            </w:r>
          </w:p>
        </w:tc>
        <w:tc>
          <w:tcPr>
            <w:tcW w:w="727" w:type="dxa"/>
            <w:hideMark/>
          </w:tcPr>
          <w:p w14:paraId="3E91F268"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0.009</w:t>
            </w:r>
          </w:p>
        </w:tc>
        <w:tc>
          <w:tcPr>
            <w:tcW w:w="1625" w:type="dxa"/>
            <w:hideMark/>
          </w:tcPr>
          <w:p w14:paraId="000D4CE3"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10±2</w:t>
            </w:r>
          </w:p>
        </w:tc>
      </w:tr>
      <w:tr w:rsidR="00301E90" w:rsidRPr="00AF048D" w14:paraId="1FF0561D" w14:textId="77777777" w:rsidTr="00D72557">
        <w:trPr>
          <w:trHeight w:val="145"/>
        </w:trPr>
        <w:tc>
          <w:tcPr>
            <w:tcW w:w="871" w:type="dxa"/>
            <w:vMerge/>
            <w:hideMark/>
          </w:tcPr>
          <w:p w14:paraId="7958FC4D" w14:textId="77777777" w:rsidR="004A6D6C" w:rsidRPr="00AF048D" w:rsidRDefault="004A6D6C" w:rsidP="00AB732B">
            <w:pPr>
              <w:spacing w:after="0" w:line="240" w:lineRule="auto"/>
              <w:jc w:val="center"/>
              <w:rPr>
                <w:rFonts w:asciiTheme="majorBidi" w:hAnsiTheme="majorBidi" w:cstheme="majorBidi"/>
                <w:b/>
                <w:bCs/>
              </w:rPr>
            </w:pPr>
          </w:p>
        </w:tc>
        <w:tc>
          <w:tcPr>
            <w:tcW w:w="871" w:type="dxa"/>
            <w:hideMark/>
          </w:tcPr>
          <w:p w14:paraId="65D3FEE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TNF-α</w:t>
            </w:r>
          </w:p>
        </w:tc>
        <w:tc>
          <w:tcPr>
            <w:tcW w:w="1445" w:type="dxa"/>
            <w:hideMark/>
          </w:tcPr>
          <w:p w14:paraId="10E64E4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65±8</w:t>
            </w:r>
          </w:p>
        </w:tc>
        <w:tc>
          <w:tcPr>
            <w:tcW w:w="871" w:type="dxa"/>
            <w:hideMark/>
          </w:tcPr>
          <w:p w14:paraId="6E554D95"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598E46E3"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48±8</w:t>
            </w:r>
          </w:p>
        </w:tc>
        <w:tc>
          <w:tcPr>
            <w:tcW w:w="871" w:type="dxa"/>
            <w:hideMark/>
          </w:tcPr>
          <w:p w14:paraId="424252BF"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266" w:type="dxa"/>
            <w:hideMark/>
          </w:tcPr>
          <w:p w14:paraId="056D52E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28±7</w:t>
            </w:r>
          </w:p>
        </w:tc>
        <w:tc>
          <w:tcPr>
            <w:tcW w:w="727" w:type="dxa"/>
            <w:hideMark/>
          </w:tcPr>
          <w:p w14:paraId="4E119EB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0.019</w:t>
            </w:r>
          </w:p>
        </w:tc>
        <w:tc>
          <w:tcPr>
            <w:tcW w:w="1625" w:type="dxa"/>
            <w:hideMark/>
          </w:tcPr>
          <w:p w14:paraId="15029A90"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9±3</w:t>
            </w:r>
          </w:p>
        </w:tc>
      </w:tr>
      <w:tr w:rsidR="00301E90" w:rsidRPr="00AF048D" w14:paraId="14C72903" w14:textId="77777777" w:rsidTr="00D72557">
        <w:trPr>
          <w:trHeight w:val="207"/>
        </w:trPr>
        <w:tc>
          <w:tcPr>
            <w:tcW w:w="871" w:type="dxa"/>
            <w:vMerge/>
            <w:hideMark/>
          </w:tcPr>
          <w:p w14:paraId="62245B2B" w14:textId="77777777" w:rsidR="004A6D6C" w:rsidRPr="00AF048D" w:rsidRDefault="004A6D6C" w:rsidP="00AB732B">
            <w:pPr>
              <w:spacing w:after="0" w:line="240" w:lineRule="auto"/>
              <w:jc w:val="center"/>
              <w:rPr>
                <w:rFonts w:asciiTheme="majorBidi" w:hAnsiTheme="majorBidi" w:cstheme="majorBidi"/>
                <w:b/>
                <w:bCs/>
              </w:rPr>
            </w:pPr>
          </w:p>
        </w:tc>
        <w:tc>
          <w:tcPr>
            <w:tcW w:w="871" w:type="dxa"/>
            <w:hideMark/>
          </w:tcPr>
          <w:p w14:paraId="27CA692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IL-1β</w:t>
            </w:r>
          </w:p>
        </w:tc>
        <w:tc>
          <w:tcPr>
            <w:tcW w:w="1445" w:type="dxa"/>
            <w:hideMark/>
          </w:tcPr>
          <w:p w14:paraId="1B30993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39±6</w:t>
            </w:r>
          </w:p>
        </w:tc>
        <w:tc>
          <w:tcPr>
            <w:tcW w:w="871" w:type="dxa"/>
            <w:hideMark/>
          </w:tcPr>
          <w:p w14:paraId="3271C418"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517C97A5"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29±5</w:t>
            </w:r>
          </w:p>
        </w:tc>
        <w:tc>
          <w:tcPr>
            <w:tcW w:w="871" w:type="dxa"/>
            <w:hideMark/>
          </w:tcPr>
          <w:p w14:paraId="33D2875C"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0.01</w:t>
            </w:r>
          </w:p>
        </w:tc>
        <w:tc>
          <w:tcPr>
            <w:tcW w:w="1266" w:type="dxa"/>
            <w:hideMark/>
          </w:tcPr>
          <w:p w14:paraId="2E9F95E9"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17±5</w:t>
            </w:r>
          </w:p>
        </w:tc>
        <w:tc>
          <w:tcPr>
            <w:tcW w:w="727" w:type="dxa"/>
            <w:hideMark/>
          </w:tcPr>
          <w:p w14:paraId="3B46DC0B"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0.073</w:t>
            </w:r>
          </w:p>
        </w:tc>
        <w:tc>
          <w:tcPr>
            <w:tcW w:w="1625" w:type="dxa"/>
            <w:hideMark/>
          </w:tcPr>
          <w:p w14:paraId="2874680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7±1</w:t>
            </w:r>
          </w:p>
        </w:tc>
      </w:tr>
      <w:tr w:rsidR="00301E90" w:rsidRPr="00AF048D" w14:paraId="7439F819" w14:textId="77777777" w:rsidTr="00D72557">
        <w:trPr>
          <w:trHeight w:val="363"/>
        </w:trPr>
        <w:tc>
          <w:tcPr>
            <w:tcW w:w="871" w:type="dxa"/>
            <w:vMerge w:val="restart"/>
            <w:hideMark/>
          </w:tcPr>
          <w:p w14:paraId="377D1D79" w14:textId="392C3F1F" w:rsidR="004A6D6C" w:rsidRPr="00AF048D" w:rsidRDefault="004A6D6C" w:rsidP="00AB732B">
            <w:pPr>
              <w:spacing w:after="0" w:line="240" w:lineRule="auto"/>
              <w:jc w:val="center"/>
              <w:rPr>
                <w:rFonts w:asciiTheme="majorBidi" w:hAnsiTheme="majorBidi" w:cstheme="majorBidi"/>
                <w:b/>
                <w:bCs/>
              </w:rPr>
            </w:pPr>
            <w:r w:rsidRPr="00AF048D">
              <w:rPr>
                <w:rStyle w:val="Strong"/>
                <w:rFonts w:asciiTheme="majorBidi" w:hAnsiTheme="majorBidi" w:cstheme="majorBidi"/>
              </w:rPr>
              <w:t>&gt;65</w:t>
            </w:r>
          </w:p>
        </w:tc>
        <w:tc>
          <w:tcPr>
            <w:tcW w:w="871" w:type="dxa"/>
            <w:hideMark/>
          </w:tcPr>
          <w:p w14:paraId="55E08C70"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IL-6</w:t>
            </w:r>
          </w:p>
        </w:tc>
        <w:tc>
          <w:tcPr>
            <w:tcW w:w="1445" w:type="dxa"/>
            <w:hideMark/>
          </w:tcPr>
          <w:p w14:paraId="22788A98"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185±30</w:t>
            </w:r>
          </w:p>
        </w:tc>
        <w:tc>
          <w:tcPr>
            <w:tcW w:w="871" w:type="dxa"/>
            <w:hideMark/>
          </w:tcPr>
          <w:p w14:paraId="05699DE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3FDB284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112±16</w:t>
            </w:r>
          </w:p>
        </w:tc>
        <w:tc>
          <w:tcPr>
            <w:tcW w:w="871" w:type="dxa"/>
            <w:hideMark/>
          </w:tcPr>
          <w:p w14:paraId="55A49CE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266" w:type="dxa"/>
            <w:hideMark/>
          </w:tcPr>
          <w:p w14:paraId="27235E53"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52±11</w:t>
            </w:r>
          </w:p>
        </w:tc>
        <w:tc>
          <w:tcPr>
            <w:tcW w:w="727" w:type="dxa"/>
            <w:hideMark/>
          </w:tcPr>
          <w:p w14:paraId="12E64FED"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0.006</w:t>
            </w:r>
          </w:p>
        </w:tc>
        <w:tc>
          <w:tcPr>
            <w:tcW w:w="1625" w:type="dxa"/>
            <w:hideMark/>
          </w:tcPr>
          <w:p w14:paraId="2894EC4C"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12±1</w:t>
            </w:r>
          </w:p>
        </w:tc>
      </w:tr>
      <w:tr w:rsidR="00301E90" w:rsidRPr="00AF048D" w14:paraId="6602EEF8" w14:textId="77777777" w:rsidTr="00D72557">
        <w:trPr>
          <w:trHeight w:val="207"/>
        </w:trPr>
        <w:tc>
          <w:tcPr>
            <w:tcW w:w="871" w:type="dxa"/>
            <w:vMerge/>
            <w:hideMark/>
          </w:tcPr>
          <w:p w14:paraId="6EEFC4C6" w14:textId="77777777" w:rsidR="004A6D6C" w:rsidRPr="00AF048D" w:rsidRDefault="004A6D6C" w:rsidP="00AB732B">
            <w:pPr>
              <w:spacing w:after="0" w:line="240" w:lineRule="auto"/>
              <w:jc w:val="center"/>
              <w:rPr>
                <w:rFonts w:asciiTheme="majorBidi" w:hAnsiTheme="majorBidi" w:cstheme="majorBidi"/>
                <w:b/>
                <w:bCs/>
              </w:rPr>
            </w:pPr>
          </w:p>
        </w:tc>
        <w:tc>
          <w:tcPr>
            <w:tcW w:w="871" w:type="dxa"/>
            <w:hideMark/>
          </w:tcPr>
          <w:p w14:paraId="7F5CDD2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TNF-α</w:t>
            </w:r>
          </w:p>
        </w:tc>
        <w:tc>
          <w:tcPr>
            <w:tcW w:w="1445" w:type="dxa"/>
            <w:hideMark/>
          </w:tcPr>
          <w:p w14:paraId="289C4F4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82±14</w:t>
            </w:r>
          </w:p>
        </w:tc>
        <w:tc>
          <w:tcPr>
            <w:tcW w:w="871" w:type="dxa"/>
            <w:hideMark/>
          </w:tcPr>
          <w:p w14:paraId="0F99F5E4"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207AEDEB"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58±9</w:t>
            </w:r>
          </w:p>
        </w:tc>
        <w:tc>
          <w:tcPr>
            <w:tcW w:w="871" w:type="dxa"/>
            <w:hideMark/>
          </w:tcPr>
          <w:p w14:paraId="27060BCB"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266" w:type="dxa"/>
            <w:hideMark/>
          </w:tcPr>
          <w:p w14:paraId="2DFF1FCC"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33±8</w:t>
            </w:r>
          </w:p>
        </w:tc>
        <w:tc>
          <w:tcPr>
            <w:tcW w:w="727" w:type="dxa"/>
            <w:hideMark/>
          </w:tcPr>
          <w:p w14:paraId="2F739FAA"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0.008</w:t>
            </w:r>
          </w:p>
        </w:tc>
        <w:tc>
          <w:tcPr>
            <w:tcW w:w="1625" w:type="dxa"/>
            <w:hideMark/>
          </w:tcPr>
          <w:p w14:paraId="01C10C5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10±2</w:t>
            </w:r>
          </w:p>
        </w:tc>
      </w:tr>
      <w:tr w:rsidR="00301E90" w:rsidRPr="00AF048D" w14:paraId="3ECAD982" w14:textId="77777777" w:rsidTr="00D72557">
        <w:trPr>
          <w:trHeight w:val="207"/>
        </w:trPr>
        <w:tc>
          <w:tcPr>
            <w:tcW w:w="871" w:type="dxa"/>
            <w:vMerge/>
            <w:hideMark/>
          </w:tcPr>
          <w:p w14:paraId="199694FD" w14:textId="77777777" w:rsidR="004A6D6C" w:rsidRPr="00AF048D" w:rsidRDefault="004A6D6C" w:rsidP="00AB732B">
            <w:pPr>
              <w:spacing w:after="0" w:line="240" w:lineRule="auto"/>
              <w:jc w:val="center"/>
              <w:rPr>
                <w:rFonts w:asciiTheme="majorBidi" w:hAnsiTheme="majorBidi" w:cstheme="majorBidi"/>
                <w:b/>
                <w:bCs/>
              </w:rPr>
            </w:pPr>
          </w:p>
        </w:tc>
        <w:tc>
          <w:tcPr>
            <w:tcW w:w="871" w:type="dxa"/>
            <w:hideMark/>
          </w:tcPr>
          <w:p w14:paraId="40DE5FD0"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IL-1β</w:t>
            </w:r>
          </w:p>
        </w:tc>
        <w:tc>
          <w:tcPr>
            <w:tcW w:w="1445" w:type="dxa"/>
            <w:hideMark/>
          </w:tcPr>
          <w:p w14:paraId="2E0E875B"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55±8</w:t>
            </w:r>
          </w:p>
        </w:tc>
        <w:tc>
          <w:tcPr>
            <w:tcW w:w="871" w:type="dxa"/>
            <w:hideMark/>
          </w:tcPr>
          <w:p w14:paraId="7E6B6AE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&lt;0.01</w:t>
            </w:r>
          </w:p>
        </w:tc>
        <w:tc>
          <w:tcPr>
            <w:tcW w:w="1594" w:type="dxa"/>
            <w:hideMark/>
          </w:tcPr>
          <w:p w14:paraId="79F0E646"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39±6</w:t>
            </w:r>
          </w:p>
        </w:tc>
        <w:tc>
          <w:tcPr>
            <w:tcW w:w="871" w:type="dxa"/>
            <w:hideMark/>
          </w:tcPr>
          <w:p w14:paraId="29BEFADA"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0.02</w:t>
            </w:r>
          </w:p>
        </w:tc>
        <w:tc>
          <w:tcPr>
            <w:tcW w:w="1266" w:type="dxa"/>
            <w:hideMark/>
          </w:tcPr>
          <w:p w14:paraId="1EAA3492"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22±6</w:t>
            </w:r>
          </w:p>
        </w:tc>
        <w:tc>
          <w:tcPr>
            <w:tcW w:w="727" w:type="dxa"/>
            <w:hideMark/>
          </w:tcPr>
          <w:p w14:paraId="02AF816F"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0.028</w:t>
            </w:r>
          </w:p>
        </w:tc>
        <w:tc>
          <w:tcPr>
            <w:tcW w:w="1625" w:type="dxa"/>
            <w:hideMark/>
          </w:tcPr>
          <w:p w14:paraId="2205423D" w14:textId="77777777" w:rsidR="004A6D6C" w:rsidRPr="00AF048D" w:rsidRDefault="004A6D6C" w:rsidP="00AB732B">
            <w:pPr>
              <w:spacing w:after="0" w:line="240" w:lineRule="auto"/>
              <w:jc w:val="center"/>
              <w:rPr>
                <w:rFonts w:asciiTheme="majorBidi" w:hAnsiTheme="majorBidi" w:cstheme="majorBidi"/>
                <w:b/>
                <w:bCs/>
              </w:rPr>
            </w:pPr>
            <w:r w:rsidRPr="00AF048D">
              <w:rPr>
                <w:rFonts w:asciiTheme="majorBidi" w:hAnsiTheme="majorBidi" w:cstheme="majorBidi"/>
                <w:b/>
                <w:bCs/>
              </w:rPr>
              <w:t>9±1</w:t>
            </w:r>
          </w:p>
        </w:tc>
      </w:tr>
    </w:tbl>
    <w:p w14:paraId="274F183E" w14:textId="77777777" w:rsidR="00230B8E" w:rsidRPr="00CB5FD0" w:rsidRDefault="00230B8E" w:rsidP="00AB732B">
      <w:pPr>
        <w:rPr>
          <w:sz w:val="8"/>
          <w:szCs w:val="8"/>
          <w:lang w:val="en-US" w:bidi="ar-IQ"/>
        </w:rPr>
        <w:sectPr w:rsidR="00230B8E" w:rsidRPr="00CB5FD0" w:rsidSect="00B77DBC">
          <w:type w:val="continuous"/>
          <w:pgSz w:w="11906" w:h="16838"/>
          <w:pgMar w:top="1134" w:right="1134" w:bottom="1134" w:left="1134" w:header="709" w:footer="709" w:gutter="0"/>
          <w:cols w:space="454"/>
          <w:titlePg/>
          <w:docGrid w:linePitch="360"/>
        </w:sectPr>
      </w:pPr>
    </w:p>
    <w:p w14:paraId="08511B8B" w14:textId="77777777" w:rsidR="00CB5FD0" w:rsidRPr="00CB5FD0" w:rsidRDefault="00CB5FD0" w:rsidP="00CB5FD0">
      <w:pPr>
        <w:rPr>
          <w:rtl/>
          <w:lang w:val="en-US"/>
        </w:rPr>
        <w:sectPr w:rsidR="00CB5FD0" w:rsidRPr="00CB5FD0" w:rsidSect="00B77DBC">
          <w:type w:val="continuous"/>
          <w:pgSz w:w="11906" w:h="16838"/>
          <w:pgMar w:top="1134" w:right="1134" w:bottom="1134" w:left="1134" w:header="709" w:footer="709" w:gutter="0"/>
          <w:cols w:space="454"/>
          <w:titlePg/>
          <w:docGrid w:linePitch="360"/>
        </w:sectPr>
      </w:pPr>
    </w:p>
    <w:p w14:paraId="49640494" w14:textId="4D74B705" w:rsidR="00EF594A" w:rsidRPr="00CB5FD0" w:rsidRDefault="00CB5FD0" w:rsidP="00CB5FD0">
      <w:pPr>
        <w:jc w:val="center"/>
        <w:rPr>
          <w:lang w:val="en-US" w:bidi="ar-IQ"/>
        </w:rPr>
        <w:sectPr w:rsidR="00EF594A" w:rsidRPr="00CB5FD0" w:rsidSect="00B77DBC">
          <w:type w:val="continuous"/>
          <w:pgSz w:w="11906" w:h="16838"/>
          <w:pgMar w:top="1134" w:right="1134" w:bottom="1134" w:left="1134" w:header="709" w:footer="709" w:gutter="0"/>
          <w:cols w:space="454"/>
          <w:titlePg/>
          <w:docGrid w:linePitch="360"/>
        </w:sectPr>
      </w:pPr>
      <w:r w:rsidRPr="00475EC4">
        <w:rPr>
          <w:noProof/>
          <w:lang w:val="en-US"/>
        </w:rPr>
        <w:drawing>
          <wp:inline distT="0" distB="0" distL="0" distR="0" wp14:anchorId="119E25AB" wp14:editId="366FDC22">
            <wp:extent cx="5124450" cy="2400300"/>
            <wp:effectExtent l="0" t="0" r="0" b="0"/>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D0EA3F9" w14:textId="6C291CF9" w:rsidR="004A6D6C" w:rsidRDefault="004A6D6C" w:rsidP="00AB732B">
      <w:pPr>
        <w:pStyle w:val="Heading3"/>
        <w:shd w:val="clear" w:color="auto" w:fill="FFFFFF"/>
        <w:spacing w:before="274" w:after="206"/>
        <w:jc w:val="center"/>
        <w:rPr>
          <w:rStyle w:val="Strong"/>
          <w:rFonts w:asciiTheme="majorBidi" w:hAnsiTheme="majorBidi"/>
          <w:b/>
          <w:bCs/>
          <w:color w:val="404040"/>
          <w:sz w:val="24"/>
          <w:szCs w:val="24"/>
          <w:rtl/>
        </w:rPr>
      </w:pPr>
      <w:r w:rsidRPr="00C13343">
        <w:rPr>
          <w:rStyle w:val="Strong"/>
          <w:rFonts w:asciiTheme="majorBidi" w:hAnsiTheme="majorBidi"/>
          <w:b/>
          <w:bCs/>
          <w:color w:val="auto"/>
          <w:sz w:val="24"/>
          <w:szCs w:val="24"/>
        </w:rPr>
        <w:t>Figure 4:</w:t>
      </w:r>
      <w:r w:rsidRPr="00C13343">
        <w:rPr>
          <w:rStyle w:val="Strong"/>
          <w:rFonts w:asciiTheme="majorBidi" w:hAnsiTheme="majorBidi"/>
          <w:b/>
          <w:bCs/>
          <w:color w:val="auto"/>
          <w:sz w:val="28"/>
          <w:szCs w:val="28"/>
        </w:rPr>
        <w:t xml:space="preserve"> </w:t>
      </w:r>
      <w:r w:rsidRPr="00641834">
        <w:rPr>
          <w:rStyle w:val="Strong"/>
          <w:rFonts w:asciiTheme="majorBidi" w:hAnsiTheme="majorBidi"/>
          <w:b/>
          <w:bCs/>
          <w:color w:val="404040"/>
          <w:sz w:val="24"/>
          <w:szCs w:val="24"/>
        </w:rPr>
        <w:t>Serum Cytokine Levels (pg/mL) according age groups</w:t>
      </w:r>
      <w:r w:rsidR="00D72557">
        <w:rPr>
          <w:rStyle w:val="Strong"/>
          <w:rFonts w:asciiTheme="majorBidi" w:hAnsiTheme="majorBidi" w:hint="cs"/>
          <w:b/>
          <w:bCs/>
          <w:color w:val="404040"/>
          <w:sz w:val="24"/>
          <w:szCs w:val="24"/>
          <w:rtl/>
        </w:rPr>
        <w:t>.</w:t>
      </w:r>
    </w:p>
    <w:p w14:paraId="7A57BCD3" w14:textId="77777777" w:rsidR="00AD1964" w:rsidRDefault="00AD1964" w:rsidP="00CB5FD0">
      <w:pPr>
        <w:rPr>
          <w:lang w:val="en-US" w:bidi="ar-IQ"/>
        </w:rPr>
      </w:pPr>
    </w:p>
    <w:p w14:paraId="2F80682C" w14:textId="77777777" w:rsidR="00140DC1" w:rsidRDefault="00140DC1" w:rsidP="00CB5FD0">
      <w:pPr>
        <w:rPr>
          <w:lang w:val="en-US" w:bidi="ar-IQ"/>
        </w:rPr>
      </w:pPr>
    </w:p>
    <w:p w14:paraId="3CDF4FEF" w14:textId="77777777" w:rsidR="00140DC1" w:rsidRDefault="00140DC1" w:rsidP="00CB5FD0">
      <w:pPr>
        <w:rPr>
          <w:lang w:val="en-US" w:bidi="ar-IQ"/>
        </w:rPr>
        <w:sectPr w:rsidR="00140DC1" w:rsidSect="00B77DBC">
          <w:type w:val="continuous"/>
          <w:pgSz w:w="11906" w:h="16838"/>
          <w:pgMar w:top="1134" w:right="1134" w:bottom="1134" w:left="1134" w:header="709" w:footer="709" w:gutter="0"/>
          <w:cols w:space="454"/>
          <w:titlePg/>
          <w:docGrid w:linePitch="360"/>
        </w:sectPr>
      </w:pPr>
    </w:p>
    <w:p w14:paraId="02EFF16E" w14:textId="1ACF813F" w:rsidR="00CB5FD0" w:rsidRDefault="001B2EB9" w:rsidP="00AD1964">
      <w:pPr>
        <w:spacing w:after="0"/>
        <w:jc w:val="both"/>
        <w:rPr>
          <w:rFonts w:asciiTheme="majorBidi" w:hAnsiTheme="majorBidi" w:cstheme="majorBidi"/>
          <w:b/>
          <w:bCs/>
          <w:sz w:val="24"/>
          <w:szCs w:val="24"/>
          <w:lang w:val="en-US"/>
        </w:rPr>
      </w:pPr>
      <w:r>
        <w:rPr>
          <w:lang w:val="en-US" w:bidi="ar-IQ"/>
        </w:rPr>
        <w:t xml:space="preserve">    </w:t>
      </w:r>
      <w:r w:rsidR="004A6D6C" w:rsidRPr="00475EC4">
        <w:rPr>
          <w:rFonts w:asciiTheme="majorBidi" w:hAnsiTheme="majorBidi" w:cstheme="majorBidi"/>
          <w:sz w:val="24"/>
          <w:szCs w:val="24"/>
        </w:rPr>
        <w:t xml:space="preserve">According to the age-specific cytokine levels measured, the results confirmed the presence of statistically significant differences between the patients and the control group. Females with influenza showed significantly higher levels of all cytokines (IL-6, TNF-α, IL-1β) compared to males (p &lt; 0.05). IL-6 and TNF-α levels were higher in females infected with the parainfluenza virus, but no significant difference was found in IL-1β (p = 0.15). The results showed no significant differences between the sexes in those infected with rhinovirus. This is agree with (Gu </w:t>
      </w:r>
      <w:r w:rsidR="004A6D6C" w:rsidRPr="00475EC4">
        <w:rPr>
          <w:rFonts w:asciiTheme="majorBidi" w:hAnsiTheme="majorBidi" w:cstheme="majorBidi"/>
          <w:i/>
          <w:iCs/>
          <w:sz w:val="24"/>
          <w:szCs w:val="24"/>
        </w:rPr>
        <w:t xml:space="preserve">et al ., </w:t>
      </w:r>
      <w:r w:rsidR="004A6D6C" w:rsidRPr="00475EC4">
        <w:rPr>
          <w:rFonts w:asciiTheme="majorBidi" w:hAnsiTheme="majorBidi" w:cstheme="majorBidi"/>
          <w:sz w:val="24"/>
          <w:szCs w:val="24"/>
        </w:rPr>
        <w:t>2021)</w:t>
      </w:r>
      <w:r w:rsidR="004A6D6C" w:rsidRPr="00475EC4">
        <w:rPr>
          <w:rFonts w:asciiTheme="majorBidi" w:hAnsiTheme="majorBidi" w:cstheme="majorBidi"/>
          <w:sz w:val="24"/>
          <w:szCs w:val="24"/>
          <w:vertAlign w:val="superscript"/>
        </w:rPr>
        <w:t>24</w:t>
      </w:r>
      <w:r w:rsidR="004A6D6C" w:rsidRPr="00475EC4">
        <w:rPr>
          <w:rFonts w:asciiTheme="majorBidi" w:hAnsiTheme="majorBidi" w:cstheme="majorBidi"/>
          <w:sz w:val="24"/>
          <w:szCs w:val="24"/>
        </w:rPr>
        <w:t>, who concluded that IL-6, TNF-α, and IL-1β are excessively elevated in some influenza virus infections.</w:t>
      </w:r>
      <w:r w:rsidR="004A6D6C">
        <w:rPr>
          <w:rFonts w:asciiTheme="majorBidi" w:hAnsiTheme="majorBidi" w:cstheme="majorBidi" w:hint="cs"/>
          <w:sz w:val="24"/>
          <w:szCs w:val="24"/>
          <w:rtl/>
        </w:rPr>
        <w:t xml:space="preserve"> </w:t>
      </w:r>
      <w:r w:rsidR="004A6D6C" w:rsidRPr="00475EC4">
        <w:rPr>
          <w:rFonts w:asciiTheme="majorBidi" w:hAnsiTheme="majorBidi" w:cstheme="majorBidi"/>
          <w:sz w:val="24"/>
          <w:szCs w:val="24"/>
        </w:rPr>
        <w:t xml:space="preserve">It can be noted that females with influenza are more susceptible to a cytokine storm, as IL-6 levels were higher (150 ± 25 pg/ml), and IL-1β levels were higher. TNF-α (70 ± 12 pg/ml) and IL-1β (45 ± 8 pg/ml). These levels were significantly higher compared to the control group, indicating an </w:t>
      </w:r>
      <w:r w:rsidR="004A6D6C" w:rsidRPr="00475EC4">
        <w:rPr>
          <w:rFonts w:asciiTheme="majorBidi" w:hAnsiTheme="majorBidi" w:cstheme="majorBidi"/>
          <w:sz w:val="24"/>
          <w:szCs w:val="24"/>
        </w:rPr>
        <w:t>excessive immune response (e.g., IL-6 in the control = 12 ± 3).</w:t>
      </w:r>
      <w:r w:rsidR="00CB5FD0" w:rsidRPr="00CB5FD0">
        <w:rPr>
          <w:rFonts w:asciiTheme="majorBidi" w:hAnsiTheme="majorBidi" w:cstheme="majorBidi"/>
          <w:b/>
          <w:bCs/>
          <w:sz w:val="24"/>
          <w:szCs w:val="24"/>
          <w:lang w:val="en-US"/>
        </w:rPr>
        <w:t>Table 5.</w:t>
      </w:r>
    </w:p>
    <w:p w14:paraId="4A0DA9B4" w14:textId="4E5378F5" w:rsidR="00CB5FD0" w:rsidRPr="00CB5FD0" w:rsidRDefault="00CB5FD0" w:rsidP="00CB5FD0">
      <w:pPr>
        <w:jc w:val="both"/>
        <w:rPr>
          <w:rStyle w:val="Strong"/>
          <w:rFonts w:asciiTheme="majorBidi" w:hAnsiTheme="majorBidi" w:cstheme="majorBidi"/>
          <w:b w:val="0"/>
          <w:bCs w:val="0"/>
          <w:sz w:val="24"/>
          <w:szCs w:val="24"/>
          <w:lang w:val="en-US"/>
        </w:rPr>
        <w:sectPr w:rsidR="00CB5FD0" w:rsidRPr="00CB5FD0" w:rsidSect="00AD1964">
          <w:type w:val="continuous"/>
          <w:pgSz w:w="11906" w:h="16838"/>
          <w:pgMar w:top="1134" w:right="1134" w:bottom="1134" w:left="1134" w:header="709" w:footer="709" w:gutter="0"/>
          <w:cols w:num="2" w:space="454"/>
          <w:titlePg/>
          <w:docGrid w:linePitch="360"/>
        </w:sectPr>
      </w:pPr>
      <w:r w:rsidRPr="00CB5FD0">
        <w:rPr>
          <w:rFonts w:asciiTheme="majorBidi" w:hAnsiTheme="majorBidi" w:cstheme="majorBidi" w:hint="cs"/>
          <w:sz w:val="24"/>
          <w:szCs w:val="24"/>
          <w:rtl/>
          <w:lang w:val="en-US"/>
        </w:rPr>
        <w:t xml:space="preserve">      </w:t>
      </w:r>
      <w:r w:rsidRPr="00CB5FD0">
        <w:rPr>
          <w:rFonts w:asciiTheme="majorBidi" w:hAnsiTheme="majorBidi" w:cstheme="majorBidi"/>
          <w:sz w:val="24"/>
          <w:szCs w:val="24"/>
        </w:rPr>
        <w:t>Our study is conform  with the study by (Kirsch-Volders and Fenech, 2021)</w:t>
      </w:r>
      <w:r w:rsidRPr="00CB5FD0">
        <w:rPr>
          <w:rFonts w:asciiTheme="majorBidi" w:hAnsiTheme="majorBidi" w:cstheme="majorBidi"/>
          <w:sz w:val="24"/>
          <w:szCs w:val="24"/>
          <w:vertAlign w:val="superscript"/>
        </w:rPr>
        <w:t>25</w:t>
      </w:r>
      <w:r w:rsidRPr="00CB5FD0">
        <w:rPr>
          <w:rFonts w:asciiTheme="majorBidi" w:hAnsiTheme="majorBidi" w:cstheme="majorBidi"/>
          <w:sz w:val="24"/>
          <w:szCs w:val="24"/>
        </w:rPr>
        <w:t>. In their study of COVID-19 patients, they confirmed that women have a more protective immune response than men, making them more susceptible to cytokine storms.</w:t>
      </w:r>
      <w:r w:rsidRPr="00CB5FD0">
        <w:rPr>
          <w:rFonts w:asciiTheme="majorBidi" w:hAnsiTheme="majorBidi" w:cstheme="majorBidi" w:hint="cs"/>
          <w:sz w:val="24"/>
          <w:szCs w:val="24"/>
          <w:rtl/>
          <w:lang w:val="en-US" w:bidi="ar-IQ"/>
        </w:rPr>
        <w:t xml:space="preserve"> </w:t>
      </w:r>
      <w:r w:rsidRPr="00CB5FD0">
        <w:rPr>
          <w:rFonts w:asciiTheme="majorBidi" w:hAnsiTheme="majorBidi" w:cstheme="majorBidi"/>
          <w:sz w:val="24"/>
          <w:szCs w:val="24"/>
        </w:rPr>
        <w:t>This may be due to sex hormones (such as estrogen) enhancing the immune response in women. It may also be due to the presence of stronger immune genes on the X chromosome, as indicated by (Spiering and de Vries , 2021)</w:t>
      </w:r>
      <w:r w:rsidRPr="00CB5FD0">
        <w:rPr>
          <w:rFonts w:asciiTheme="majorBidi" w:hAnsiTheme="majorBidi" w:cstheme="majorBidi"/>
          <w:sz w:val="24"/>
          <w:szCs w:val="24"/>
          <w:vertAlign w:val="superscript"/>
        </w:rPr>
        <w:t>26</w:t>
      </w:r>
      <w:r w:rsidRPr="00CB5FD0">
        <w:rPr>
          <w:rFonts w:asciiTheme="majorBidi" w:hAnsiTheme="majorBidi" w:cstheme="majorBidi" w:hint="cs"/>
          <w:sz w:val="24"/>
          <w:szCs w:val="24"/>
          <w:rtl/>
          <w:lang w:val="en-US"/>
        </w:rPr>
        <w:t xml:space="preserve">. </w:t>
      </w:r>
      <w:r w:rsidRPr="00CB5FD0">
        <w:rPr>
          <w:rFonts w:asciiTheme="majorBidi" w:hAnsiTheme="majorBidi" w:cstheme="majorBidi"/>
          <w:sz w:val="24"/>
          <w:szCs w:val="24"/>
        </w:rPr>
        <w:t xml:space="preserve">When comparing viruses that cause a cytokine storm, according to the results of our study, it was found that influenza showed the highest levels of cytokines, leading to a more severe cytokine storm according to (Keshavarz </w:t>
      </w:r>
      <w:r w:rsidRPr="00CB5FD0">
        <w:rPr>
          <w:rFonts w:asciiTheme="majorBidi" w:hAnsiTheme="majorBidi" w:cstheme="majorBidi"/>
          <w:i/>
          <w:iCs/>
          <w:sz w:val="24"/>
          <w:szCs w:val="24"/>
        </w:rPr>
        <w:t>et al</w:t>
      </w:r>
      <w:r w:rsidRPr="00CB5FD0">
        <w:rPr>
          <w:rFonts w:asciiTheme="majorBidi" w:hAnsiTheme="majorBidi" w:cstheme="majorBidi"/>
          <w:sz w:val="24"/>
          <w:szCs w:val="24"/>
        </w:rPr>
        <w:t xml:space="preserve"> ., 2019)</w:t>
      </w:r>
      <w:r w:rsidRPr="00CB5FD0">
        <w:rPr>
          <w:rFonts w:asciiTheme="majorBidi" w:hAnsiTheme="majorBidi" w:cstheme="majorBidi"/>
          <w:sz w:val="24"/>
          <w:szCs w:val="24"/>
          <w:vertAlign w:val="superscript"/>
        </w:rPr>
        <w:t>27</w:t>
      </w:r>
      <w:r w:rsidRPr="00CB5FD0">
        <w:rPr>
          <w:rFonts w:asciiTheme="majorBidi" w:hAnsiTheme="majorBidi" w:cstheme="majorBidi"/>
          <w:sz w:val="24"/>
          <w:szCs w:val="24"/>
        </w:rPr>
        <w:t>.</w:t>
      </w:r>
      <w:r w:rsidRPr="00CB5FD0">
        <w:rPr>
          <w:rFonts w:asciiTheme="majorBidi" w:hAnsiTheme="majorBidi" w:cstheme="majorBidi" w:hint="cs"/>
          <w:sz w:val="24"/>
          <w:szCs w:val="24"/>
          <w:rtl/>
          <w:lang w:val="en-US"/>
        </w:rPr>
        <w:t xml:space="preserve"> </w:t>
      </w:r>
      <w:r w:rsidRPr="00CB5FD0">
        <w:rPr>
          <w:rFonts w:asciiTheme="majorBidi" w:hAnsiTheme="majorBidi" w:cstheme="majorBidi"/>
          <w:sz w:val="24"/>
          <w:szCs w:val="24"/>
        </w:rPr>
        <w:t>However, Our study results showed a moderate response (less than influenza) for parainfluenza, while rhinovirus showed a mild response (levels close to control).</w:t>
      </w:r>
      <w:r>
        <w:rPr>
          <w:rFonts w:asciiTheme="majorBidi" w:hAnsiTheme="majorBidi" w:cstheme="majorBidi"/>
          <w:sz w:val="24"/>
          <w:szCs w:val="24"/>
          <w:lang w:val="en-US"/>
        </w:rPr>
        <w:t xml:space="preserve"> </w:t>
      </w:r>
      <w:r w:rsidRPr="00CB5FD0">
        <w:rPr>
          <w:rFonts w:asciiTheme="majorBidi" w:hAnsiTheme="majorBidi" w:cstheme="majorBidi"/>
          <w:b/>
          <w:bCs/>
          <w:sz w:val="24"/>
          <w:szCs w:val="24"/>
          <w:lang w:val="en-US"/>
        </w:rPr>
        <w:t>Figure 5</w:t>
      </w:r>
      <w:r>
        <w:rPr>
          <w:rFonts w:asciiTheme="majorBidi" w:hAnsiTheme="majorBidi" w:cstheme="majorBidi"/>
          <w:sz w:val="24"/>
          <w:szCs w:val="24"/>
          <w:lang w:val="en-US"/>
        </w:rPr>
        <w:t xml:space="preserve">.                                                      </w:t>
      </w:r>
    </w:p>
    <w:p w14:paraId="1404593B" w14:textId="181DB499" w:rsidR="004A6D6C" w:rsidRPr="000A5236" w:rsidRDefault="004A6D6C" w:rsidP="00AB732B">
      <w:pPr>
        <w:pStyle w:val="Heading3"/>
        <w:shd w:val="clear" w:color="auto" w:fill="FFFFFF"/>
        <w:spacing w:before="274" w:after="206"/>
        <w:rPr>
          <w:rFonts w:asciiTheme="majorBidi" w:hAnsiTheme="majorBidi"/>
          <w:b w:val="0"/>
          <w:bCs w:val="0"/>
          <w:color w:val="404040"/>
          <w:sz w:val="24"/>
          <w:szCs w:val="24"/>
        </w:rPr>
      </w:pPr>
      <w:r w:rsidRPr="000A5236">
        <w:rPr>
          <w:rStyle w:val="Strong"/>
          <w:rFonts w:asciiTheme="majorBidi" w:hAnsiTheme="majorBidi"/>
          <w:b/>
          <w:bCs/>
          <w:color w:val="404040"/>
          <w:sz w:val="24"/>
          <w:szCs w:val="24"/>
        </w:rPr>
        <w:t>Table5: gender-Specific Cytokine Levels (pg/mL) in Respiratory Viral Infections</w:t>
      </w:r>
      <w:r w:rsidR="002C0024">
        <w:rPr>
          <w:rStyle w:val="Strong"/>
          <w:rFonts w:asciiTheme="majorBidi" w:hAnsiTheme="majorBidi" w:hint="cs"/>
          <w:b/>
          <w:bCs/>
          <w:color w:val="404040"/>
          <w:sz w:val="24"/>
          <w:szCs w:val="24"/>
          <w:rtl/>
        </w:rPr>
        <w:t>.</w:t>
      </w:r>
    </w:p>
    <w:tbl>
      <w:tblPr>
        <w:tblStyle w:val="TableGrid"/>
        <w:tblW w:w="9783" w:type="dxa"/>
        <w:tblInd w:w="108" w:type="dxa"/>
        <w:tblLook w:val="04A0" w:firstRow="1" w:lastRow="0" w:firstColumn="1" w:lastColumn="0" w:noHBand="0" w:noVBand="1"/>
      </w:tblPr>
      <w:tblGrid>
        <w:gridCol w:w="1536"/>
        <w:gridCol w:w="901"/>
        <w:gridCol w:w="1563"/>
        <w:gridCol w:w="826"/>
        <w:gridCol w:w="1685"/>
        <w:gridCol w:w="826"/>
        <w:gridCol w:w="1627"/>
        <w:gridCol w:w="819"/>
      </w:tblGrid>
      <w:tr w:rsidR="001A420D" w:rsidRPr="00394B5A" w14:paraId="43285DA9" w14:textId="77777777" w:rsidTr="008343CF">
        <w:trPr>
          <w:trHeight w:val="1034"/>
        </w:trPr>
        <w:tc>
          <w:tcPr>
            <w:tcW w:w="0" w:type="auto"/>
            <w:shd w:val="clear" w:color="auto" w:fill="E7E6E6" w:themeFill="background2"/>
            <w:hideMark/>
          </w:tcPr>
          <w:p w14:paraId="05DFFBC9"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Virus</w:t>
            </w:r>
          </w:p>
        </w:tc>
        <w:tc>
          <w:tcPr>
            <w:tcW w:w="0" w:type="auto"/>
            <w:shd w:val="clear" w:color="auto" w:fill="E7E6E6" w:themeFill="background2"/>
            <w:hideMark/>
          </w:tcPr>
          <w:p w14:paraId="7CCB0F34"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Sex</w:t>
            </w:r>
          </w:p>
        </w:tc>
        <w:tc>
          <w:tcPr>
            <w:tcW w:w="0" w:type="auto"/>
            <w:shd w:val="clear" w:color="auto" w:fill="E7E6E6" w:themeFill="background2"/>
            <w:hideMark/>
          </w:tcPr>
          <w:p w14:paraId="15133F25"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IL-6 (Mean±SD)</w:t>
            </w:r>
          </w:p>
        </w:tc>
        <w:tc>
          <w:tcPr>
            <w:tcW w:w="0" w:type="auto"/>
            <w:shd w:val="clear" w:color="auto" w:fill="E7E6E6" w:themeFill="background2"/>
            <w:hideMark/>
          </w:tcPr>
          <w:p w14:paraId="1E6A2EA8"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p-value</w:t>
            </w:r>
          </w:p>
        </w:tc>
        <w:tc>
          <w:tcPr>
            <w:tcW w:w="0" w:type="auto"/>
            <w:shd w:val="clear" w:color="auto" w:fill="E7E6E6" w:themeFill="background2"/>
            <w:hideMark/>
          </w:tcPr>
          <w:p w14:paraId="6A8CB00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TNF-α (Mean±SD)</w:t>
            </w:r>
          </w:p>
        </w:tc>
        <w:tc>
          <w:tcPr>
            <w:tcW w:w="0" w:type="auto"/>
            <w:shd w:val="clear" w:color="auto" w:fill="E7E6E6" w:themeFill="background2"/>
            <w:hideMark/>
          </w:tcPr>
          <w:p w14:paraId="324AFECD"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p-value</w:t>
            </w:r>
          </w:p>
        </w:tc>
        <w:tc>
          <w:tcPr>
            <w:tcW w:w="0" w:type="auto"/>
            <w:shd w:val="clear" w:color="auto" w:fill="E7E6E6" w:themeFill="background2"/>
            <w:hideMark/>
          </w:tcPr>
          <w:p w14:paraId="021DBFAA"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IL-1β (Mean±SD)</w:t>
            </w:r>
          </w:p>
        </w:tc>
        <w:tc>
          <w:tcPr>
            <w:tcW w:w="819" w:type="dxa"/>
            <w:shd w:val="clear" w:color="auto" w:fill="E7E6E6" w:themeFill="background2"/>
            <w:hideMark/>
          </w:tcPr>
          <w:p w14:paraId="4A4E9148"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p-value</w:t>
            </w:r>
          </w:p>
        </w:tc>
      </w:tr>
      <w:tr w:rsidR="001A420D" w:rsidRPr="00394B5A" w14:paraId="48B0999F" w14:textId="77777777" w:rsidTr="00394B5A">
        <w:trPr>
          <w:trHeight w:val="584"/>
        </w:trPr>
        <w:tc>
          <w:tcPr>
            <w:tcW w:w="0" w:type="auto"/>
            <w:vMerge w:val="restart"/>
            <w:hideMark/>
          </w:tcPr>
          <w:p w14:paraId="7E9DF974" w14:textId="77777777" w:rsidR="004A6D6C" w:rsidRPr="00394B5A" w:rsidRDefault="004A6D6C" w:rsidP="001B2EB9">
            <w:pPr>
              <w:spacing w:after="0" w:line="240" w:lineRule="auto"/>
              <w:jc w:val="center"/>
              <w:rPr>
                <w:rFonts w:asciiTheme="majorBidi" w:hAnsiTheme="majorBidi" w:cstheme="majorBidi"/>
                <w:b/>
                <w:bCs/>
              </w:rPr>
            </w:pPr>
            <w:r w:rsidRPr="00394B5A">
              <w:rPr>
                <w:rStyle w:val="Strong"/>
                <w:rFonts w:asciiTheme="majorBidi" w:hAnsiTheme="majorBidi" w:cstheme="majorBidi"/>
              </w:rPr>
              <w:t>Influenza</w:t>
            </w:r>
          </w:p>
        </w:tc>
        <w:tc>
          <w:tcPr>
            <w:tcW w:w="0" w:type="auto"/>
            <w:hideMark/>
          </w:tcPr>
          <w:p w14:paraId="0D77C7E9"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Female</w:t>
            </w:r>
          </w:p>
        </w:tc>
        <w:tc>
          <w:tcPr>
            <w:tcW w:w="0" w:type="auto"/>
            <w:hideMark/>
          </w:tcPr>
          <w:p w14:paraId="473CF75B"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150 ± 25*</w:t>
            </w:r>
          </w:p>
        </w:tc>
        <w:tc>
          <w:tcPr>
            <w:tcW w:w="0" w:type="auto"/>
            <w:vMerge w:val="restart"/>
            <w:hideMark/>
          </w:tcPr>
          <w:p w14:paraId="08EA435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0.003</w:t>
            </w:r>
          </w:p>
        </w:tc>
        <w:tc>
          <w:tcPr>
            <w:tcW w:w="0" w:type="auto"/>
            <w:hideMark/>
          </w:tcPr>
          <w:p w14:paraId="1E271071"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70 ± 12*</w:t>
            </w:r>
          </w:p>
        </w:tc>
        <w:tc>
          <w:tcPr>
            <w:tcW w:w="0" w:type="auto"/>
            <w:vMerge w:val="restart"/>
            <w:hideMark/>
          </w:tcPr>
          <w:p w14:paraId="5BAE87BB"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0.008</w:t>
            </w:r>
          </w:p>
        </w:tc>
        <w:tc>
          <w:tcPr>
            <w:tcW w:w="0" w:type="auto"/>
            <w:hideMark/>
          </w:tcPr>
          <w:p w14:paraId="5199F21D"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45 ± 8*</w:t>
            </w:r>
          </w:p>
        </w:tc>
        <w:tc>
          <w:tcPr>
            <w:tcW w:w="819" w:type="dxa"/>
            <w:vMerge w:val="restart"/>
            <w:hideMark/>
          </w:tcPr>
          <w:p w14:paraId="19EA32E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0.02</w:t>
            </w:r>
          </w:p>
        </w:tc>
      </w:tr>
      <w:tr w:rsidR="001A420D" w:rsidRPr="00394B5A" w14:paraId="52F4363E" w14:textId="77777777" w:rsidTr="00394B5A">
        <w:trPr>
          <w:trHeight w:val="629"/>
        </w:trPr>
        <w:tc>
          <w:tcPr>
            <w:tcW w:w="0" w:type="auto"/>
            <w:vMerge/>
            <w:hideMark/>
          </w:tcPr>
          <w:p w14:paraId="3A023557"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01C51683"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Male</w:t>
            </w:r>
          </w:p>
        </w:tc>
        <w:tc>
          <w:tcPr>
            <w:tcW w:w="0" w:type="auto"/>
            <w:hideMark/>
          </w:tcPr>
          <w:p w14:paraId="00FD5325"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130 ± 20</w:t>
            </w:r>
          </w:p>
        </w:tc>
        <w:tc>
          <w:tcPr>
            <w:tcW w:w="0" w:type="auto"/>
            <w:vMerge/>
            <w:hideMark/>
          </w:tcPr>
          <w:p w14:paraId="116B64B9"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6003D31C"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60 ± 10</w:t>
            </w:r>
          </w:p>
        </w:tc>
        <w:tc>
          <w:tcPr>
            <w:tcW w:w="0" w:type="auto"/>
            <w:vMerge/>
            <w:hideMark/>
          </w:tcPr>
          <w:p w14:paraId="0DC6B1F2"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1AA555A0"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38 ± 7</w:t>
            </w:r>
          </w:p>
        </w:tc>
        <w:tc>
          <w:tcPr>
            <w:tcW w:w="819" w:type="dxa"/>
            <w:vMerge/>
            <w:hideMark/>
          </w:tcPr>
          <w:p w14:paraId="53D2A441" w14:textId="77777777" w:rsidR="004A6D6C" w:rsidRPr="00394B5A" w:rsidRDefault="004A6D6C" w:rsidP="001B2EB9">
            <w:pPr>
              <w:spacing w:after="0" w:line="240" w:lineRule="auto"/>
              <w:jc w:val="center"/>
              <w:rPr>
                <w:rFonts w:asciiTheme="majorBidi" w:hAnsiTheme="majorBidi" w:cstheme="majorBidi"/>
                <w:b/>
                <w:bCs/>
              </w:rPr>
            </w:pPr>
          </w:p>
        </w:tc>
      </w:tr>
      <w:tr w:rsidR="001A420D" w:rsidRPr="00394B5A" w14:paraId="613E73D6" w14:textId="77777777" w:rsidTr="00394B5A">
        <w:trPr>
          <w:trHeight w:val="566"/>
        </w:trPr>
        <w:tc>
          <w:tcPr>
            <w:tcW w:w="0" w:type="auto"/>
            <w:vMerge w:val="restart"/>
            <w:hideMark/>
          </w:tcPr>
          <w:p w14:paraId="7DD1C030" w14:textId="77777777" w:rsidR="004A6D6C" w:rsidRPr="00394B5A" w:rsidRDefault="004A6D6C" w:rsidP="001B2EB9">
            <w:pPr>
              <w:spacing w:after="0" w:line="240" w:lineRule="auto"/>
              <w:jc w:val="center"/>
              <w:rPr>
                <w:rFonts w:asciiTheme="majorBidi" w:hAnsiTheme="majorBidi" w:cstheme="majorBidi"/>
                <w:b/>
                <w:bCs/>
              </w:rPr>
            </w:pPr>
            <w:r w:rsidRPr="00394B5A">
              <w:rPr>
                <w:rStyle w:val="Strong"/>
                <w:rFonts w:asciiTheme="majorBidi" w:hAnsiTheme="majorBidi" w:cstheme="majorBidi"/>
              </w:rPr>
              <w:t>Parainfluenza</w:t>
            </w:r>
          </w:p>
        </w:tc>
        <w:tc>
          <w:tcPr>
            <w:tcW w:w="0" w:type="auto"/>
            <w:hideMark/>
          </w:tcPr>
          <w:p w14:paraId="72C6DF34"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Female</w:t>
            </w:r>
          </w:p>
        </w:tc>
        <w:tc>
          <w:tcPr>
            <w:tcW w:w="0" w:type="auto"/>
            <w:hideMark/>
          </w:tcPr>
          <w:p w14:paraId="526DD223"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100 ± 18*</w:t>
            </w:r>
          </w:p>
        </w:tc>
        <w:tc>
          <w:tcPr>
            <w:tcW w:w="0" w:type="auto"/>
            <w:vMerge w:val="restart"/>
            <w:hideMark/>
          </w:tcPr>
          <w:p w14:paraId="5A23797B"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0.01</w:t>
            </w:r>
          </w:p>
        </w:tc>
        <w:tc>
          <w:tcPr>
            <w:tcW w:w="0" w:type="auto"/>
            <w:hideMark/>
          </w:tcPr>
          <w:p w14:paraId="1DF84BB0"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55 ± 9*</w:t>
            </w:r>
          </w:p>
        </w:tc>
        <w:tc>
          <w:tcPr>
            <w:tcW w:w="0" w:type="auto"/>
            <w:vMerge w:val="restart"/>
            <w:hideMark/>
          </w:tcPr>
          <w:p w14:paraId="597C56E8"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0.03</w:t>
            </w:r>
          </w:p>
        </w:tc>
        <w:tc>
          <w:tcPr>
            <w:tcW w:w="0" w:type="auto"/>
            <w:hideMark/>
          </w:tcPr>
          <w:p w14:paraId="121EF66C"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30 ± 6</w:t>
            </w:r>
          </w:p>
        </w:tc>
        <w:tc>
          <w:tcPr>
            <w:tcW w:w="819" w:type="dxa"/>
            <w:vMerge w:val="restart"/>
            <w:hideMark/>
          </w:tcPr>
          <w:p w14:paraId="48E0558A"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0.15</w:t>
            </w:r>
          </w:p>
        </w:tc>
      </w:tr>
      <w:tr w:rsidR="001A420D" w:rsidRPr="00394B5A" w14:paraId="35DD3F31" w14:textId="77777777" w:rsidTr="00830BB7">
        <w:trPr>
          <w:trHeight w:val="557"/>
        </w:trPr>
        <w:tc>
          <w:tcPr>
            <w:tcW w:w="0" w:type="auto"/>
            <w:vMerge/>
            <w:hideMark/>
          </w:tcPr>
          <w:p w14:paraId="33EEB761"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67FDC786"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Male</w:t>
            </w:r>
          </w:p>
        </w:tc>
        <w:tc>
          <w:tcPr>
            <w:tcW w:w="0" w:type="auto"/>
            <w:hideMark/>
          </w:tcPr>
          <w:p w14:paraId="0DDC3DD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85 ± 15</w:t>
            </w:r>
          </w:p>
        </w:tc>
        <w:tc>
          <w:tcPr>
            <w:tcW w:w="0" w:type="auto"/>
            <w:vMerge/>
            <w:hideMark/>
          </w:tcPr>
          <w:p w14:paraId="553E2D7D"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4D63E4F5"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45 ± 8</w:t>
            </w:r>
          </w:p>
        </w:tc>
        <w:tc>
          <w:tcPr>
            <w:tcW w:w="0" w:type="auto"/>
            <w:vMerge/>
            <w:hideMark/>
          </w:tcPr>
          <w:p w14:paraId="0C536EF6"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77D492A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25 ± 5</w:t>
            </w:r>
          </w:p>
        </w:tc>
        <w:tc>
          <w:tcPr>
            <w:tcW w:w="819" w:type="dxa"/>
            <w:vMerge/>
            <w:hideMark/>
          </w:tcPr>
          <w:p w14:paraId="310C09B5" w14:textId="77777777" w:rsidR="004A6D6C" w:rsidRPr="00394B5A" w:rsidRDefault="004A6D6C" w:rsidP="001B2EB9">
            <w:pPr>
              <w:spacing w:after="0" w:line="240" w:lineRule="auto"/>
              <w:jc w:val="center"/>
              <w:rPr>
                <w:rFonts w:asciiTheme="majorBidi" w:hAnsiTheme="majorBidi" w:cstheme="majorBidi"/>
                <w:b/>
                <w:bCs/>
              </w:rPr>
            </w:pPr>
          </w:p>
        </w:tc>
      </w:tr>
      <w:tr w:rsidR="001A420D" w:rsidRPr="00394B5A" w14:paraId="71B688B2" w14:textId="77777777" w:rsidTr="00A852C5">
        <w:trPr>
          <w:trHeight w:val="315"/>
        </w:trPr>
        <w:tc>
          <w:tcPr>
            <w:tcW w:w="0" w:type="auto"/>
            <w:vMerge w:val="restart"/>
            <w:hideMark/>
          </w:tcPr>
          <w:p w14:paraId="03CE1DDC" w14:textId="77777777" w:rsidR="004A6D6C" w:rsidRPr="00394B5A" w:rsidRDefault="004A6D6C" w:rsidP="001B2EB9">
            <w:pPr>
              <w:spacing w:after="0" w:line="240" w:lineRule="auto"/>
              <w:jc w:val="center"/>
              <w:rPr>
                <w:rFonts w:asciiTheme="majorBidi" w:hAnsiTheme="majorBidi" w:cstheme="majorBidi"/>
                <w:b/>
                <w:bCs/>
              </w:rPr>
            </w:pPr>
            <w:r w:rsidRPr="00394B5A">
              <w:rPr>
                <w:rStyle w:val="Strong"/>
                <w:rFonts w:asciiTheme="majorBidi" w:hAnsiTheme="majorBidi" w:cstheme="majorBidi"/>
              </w:rPr>
              <w:t>Rhinovirus</w:t>
            </w:r>
          </w:p>
        </w:tc>
        <w:tc>
          <w:tcPr>
            <w:tcW w:w="0" w:type="auto"/>
            <w:hideMark/>
          </w:tcPr>
          <w:p w14:paraId="155C3959"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Female</w:t>
            </w:r>
          </w:p>
        </w:tc>
        <w:tc>
          <w:tcPr>
            <w:tcW w:w="0" w:type="auto"/>
            <w:hideMark/>
          </w:tcPr>
          <w:p w14:paraId="0E10B632"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50 ± 10</w:t>
            </w:r>
          </w:p>
        </w:tc>
        <w:tc>
          <w:tcPr>
            <w:tcW w:w="0" w:type="auto"/>
            <w:vMerge w:val="restart"/>
            <w:hideMark/>
          </w:tcPr>
          <w:p w14:paraId="322A4BBF"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0.25</w:t>
            </w:r>
          </w:p>
        </w:tc>
        <w:tc>
          <w:tcPr>
            <w:tcW w:w="0" w:type="auto"/>
            <w:hideMark/>
          </w:tcPr>
          <w:p w14:paraId="1BA89EFA"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30 ± 7</w:t>
            </w:r>
          </w:p>
        </w:tc>
        <w:tc>
          <w:tcPr>
            <w:tcW w:w="0" w:type="auto"/>
            <w:vMerge w:val="restart"/>
            <w:hideMark/>
          </w:tcPr>
          <w:p w14:paraId="2EE7A654"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0.18</w:t>
            </w:r>
          </w:p>
        </w:tc>
        <w:tc>
          <w:tcPr>
            <w:tcW w:w="0" w:type="auto"/>
            <w:hideMark/>
          </w:tcPr>
          <w:p w14:paraId="07E49F43"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18 ± 4</w:t>
            </w:r>
          </w:p>
        </w:tc>
        <w:tc>
          <w:tcPr>
            <w:tcW w:w="819" w:type="dxa"/>
            <w:vMerge w:val="restart"/>
            <w:hideMark/>
          </w:tcPr>
          <w:p w14:paraId="68BE9066"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0.30</w:t>
            </w:r>
          </w:p>
        </w:tc>
      </w:tr>
      <w:tr w:rsidR="001A420D" w:rsidRPr="00394B5A" w14:paraId="018EBE0B" w14:textId="77777777" w:rsidTr="00830BB7">
        <w:trPr>
          <w:trHeight w:val="737"/>
        </w:trPr>
        <w:tc>
          <w:tcPr>
            <w:tcW w:w="0" w:type="auto"/>
            <w:vMerge/>
            <w:hideMark/>
          </w:tcPr>
          <w:p w14:paraId="02A7073C"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5CCD31E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Male</w:t>
            </w:r>
          </w:p>
        </w:tc>
        <w:tc>
          <w:tcPr>
            <w:tcW w:w="0" w:type="auto"/>
            <w:hideMark/>
          </w:tcPr>
          <w:p w14:paraId="47016CF3"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45 ± 8</w:t>
            </w:r>
          </w:p>
        </w:tc>
        <w:tc>
          <w:tcPr>
            <w:tcW w:w="0" w:type="auto"/>
            <w:vMerge/>
            <w:hideMark/>
          </w:tcPr>
          <w:p w14:paraId="1CBD8FEE"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2F475549"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25 ± 6</w:t>
            </w:r>
          </w:p>
        </w:tc>
        <w:tc>
          <w:tcPr>
            <w:tcW w:w="0" w:type="auto"/>
            <w:vMerge/>
            <w:hideMark/>
          </w:tcPr>
          <w:p w14:paraId="5E9F915B"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2A9846F9"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15 ± 3</w:t>
            </w:r>
          </w:p>
        </w:tc>
        <w:tc>
          <w:tcPr>
            <w:tcW w:w="819" w:type="dxa"/>
            <w:vMerge/>
            <w:hideMark/>
          </w:tcPr>
          <w:p w14:paraId="2EE77C0D" w14:textId="77777777" w:rsidR="004A6D6C" w:rsidRPr="00394B5A" w:rsidRDefault="004A6D6C" w:rsidP="001B2EB9">
            <w:pPr>
              <w:spacing w:after="0" w:line="240" w:lineRule="auto"/>
              <w:jc w:val="center"/>
              <w:rPr>
                <w:rFonts w:asciiTheme="majorBidi" w:hAnsiTheme="majorBidi" w:cstheme="majorBidi"/>
                <w:b/>
                <w:bCs/>
              </w:rPr>
            </w:pPr>
          </w:p>
        </w:tc>
      </w:tr>
      <w:tr w:rsidR="001A420D" w:rsidRPr="00394B5A" w14:paraId="4D7FED3B" w14:textId="77777777" w:rsidTr="00394B5A">
        <w:trPr>
          <w:trHeight w:val="476"/>
        </w:trPr>
        <w:tc>
          <w:tcPr>
            <w:tcW w:w="0" w:type="auto"/>
            <w:vMerge w:val="restart"/>
            <w:hideMark/>
          </w:tcPr>
          <w:p w14:paraId="5C1D4BC4" w14:textId="77777777" w:rsidR="004A6D6C" w:rsidRPr="00394B5A" w:rsidRDefault="004A6D6C" w:rsidP="001B2EB9">
            <w:pPr>
              <w:spacing w:after="0" w:line="240" w:lineRule="auto"/>
              <w:jc w:val="center"/>
              <w:rPr>
                <w:rFonts w:asciiTheme="majorBidi" w:hAnsiTheme="majorBidi" w:cstheme="majorBidi"/>
                <w:b/>
                <w:bCs/>
              </w:rPr>
            </w:pPr>
            <w:r w:rsidRPr="00394B5A">
              <w:rPr>
                <w:rStyle w:val="Strong"/>
                <w:rFonts w:asciiTheme="majorBidi" w:hAnsiTheme="majorBidi" w:cstheme="majorBidi"/>
              </w:rPr>
              <w:t>Control</w:t>
            </w:r>
          </w:p>
        </w:tc>
        <w:tc>
          <w:tcPr>
            <w:tcW w:w="0" w:type="auto"/>
            <w:hideMark/>
          </w:tcPr>
          <w:p w14:paraId="6AF078A4"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Female</w:t>
            </w:r>
          </w:p>
        </w:tc>
        <w:tc>
          <w:tcPr>
            <w:tcW w:w="0" w:type="auto"/>
            <w:hideMark/>
          </w:tcPr>
          <w:p w14:paraId="26511A19"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12 ± 3</w:t>
            </w:r>
          </w:p>
        </w:tc>
        <w:tc>
          <w:tcPr>
            <w:tcW w:w="0" w:type="auto"/>
            <w:vMerge w:val="restart"/>
            <w:hideMark/>
          </w:tcPr>
          <w:p w14:paraId="106307ED"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0.12</w:t>
            </w:r>
          </w:p>
        </w:tc>
        <w:tc>
          <w:tcPr>
            <w:tcW w:w="0" w:type="auto"/>
            <w:hideMark/>
          </w:tcPr>
          <w:p w14:paraId="4233D694"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8 ± 2</w:t>
            </w:r>
          </w:p>
        </w:tc>
        <w:tc>
          <w:tcPr>
            <w:tcW w:w="0" w:type="auto"/>
            <w:vMerge w:val="restart"/>
            <w:hideMark/>
          </w:tcPr>
          <w:p w14:paraId="59BBD08B"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0.20</w:t>
            </w:r>
          </w:p>
        </w:tc>
        <w:tc>
          <w:tcPr>
            <w:tcW w:w="0" w:type="auto"/>
            <w:hideMark/>
          </w:tcPr>
          <w:p w14:paraId="153C4A1A"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7 ± 1</w:t>
            </w:r>
          </w:p>
        </w:tc>
        <w:tc>
          <w:tcPr>
            <w:tcW w:w="819" w:type="dxa"/>
            <w:vMerge w:val="restart"/>
            <w:hideMark/>
          </w:tcPr>
          <w:p w14:paraId="44F3869C"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0.25</w:t>
            </w:r>
          </w:p>
        </w:tc>
      </w:tr>
      <w:tr w:rsidR="001A420D" w:rsidRPr="00394B5A" w14:paraId="5598F697" w14:textId="77777777" w:rsidTr="00394B5A">
        <w:trPr>
          <w:trHeight w:val="512"/>
        </w:trPr>
        <w:tc>
          <w:tcPr>
            <w:tcW w:w="0" w:type="auto"/>
            <w:vMerge/>
            <w:hideMark/>
          </w:tcPr>
          <w:p w14:paraId="3FBCD31D"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49FBE1D7"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Male</w:t>
            </w:r>
          </w:p>
        </w:tc>
        <w:tc>
          <w:tcPr>
            <w:tcW w:w="0" w:type="auto"/>
            <w:hideMark/>
          </w:tcPr>
          <w:p w14:paraId="5F13DAE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10 ± 2</w:t>
            </w:r>
          </w:p>
        </w:tc>
        <w:tc>
          <w:tcPr>
            <w:tcW w:w="0" w:type="auto"/>
            <w:vMerge/>
            <w:hideMark/>
          </w:tcPr>
          <w:p w14:paraId="17C2D6E6"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28BAE164"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7 ± 1</w:t>
            </w:r>
          </w:p>
        </w:tc>
        <w:tc>
          <w:tcPr>
            <w:tcW w:w="0" w:type="auto"/>
            <w:vMerge/>
            <w:hideMark/>
          </w:tcPr>
          <w:p w14:paraId="246576C5" w14:textId="77777777" w:rsidR="004A6D6C" w:rsidRPr="00394B5A" w:rsidRDefault="004A6D6C" w:rsidP="001B2EB9">
            <w:pPr>
              <w:spacing w:after="0" w:line="240" w:lineRule="auto"/>
              <w:jc w:val="center"/>
              <w:rPr>
                <w:rFonts w:asciiTheme="majorBidi" w:hAnsiTheme="majorBidi" w:cstheme="majorBidi"/>
                <w:b/>
                <w:bCs/>
              </w:rPr>
            </w:pPr>
          </w:p>
        </w:tc>
        <w:tc>
          <w:tcPr>
            <w:tcW w:w="0" w:type="auto"/>
            <w:hideMark/>
          </w:tcPr>
          <w:p w14:paraId="638A3B4E" w14:textId="77777777" w:rsidR="004A6D6C" w:rsidRPr="00394B5A" w:rsidRDefault="004A6D6C" w:rsidP="001B2EB9">
            <w:pPr>
              <w:spacing w:after="0" w:line="240" w:lineRule="auto"/>
              <w:jc w:val="center"/>
              <w:rPr>
                <w:rFonts w:asciiTheme="majorBidi" w:hAnsiTheme="majorBidi" w:cstheme="majorBidi"/>
                <w:b/>
                <w:bCs/>
              </w:rPr>
            </w:pPr>
            <w:r w:rsidRPr="00394B5A">
              <w:rPr>
                <w:rFonts w:asciiTheme="majorBidi" w:hAnsiTheme="majorBidi" w:cstheme="majorBidi"/>
                <w:b/>
                <w:bCs/>
              </w:rPr>
              <w:t>6 ± 1</w:t>
            </w:r>
          </w:p>
        </w:tc>
        <w:tc>
          <w:tcPr>
            <w:tcW w:w="819" w:type="dxa"/>
            <w:vMerge/>
            <w:hideMark/>
          </w:tcPr>
          <w:p w14:paraId="49121413" w14:textId="77777777" w:rsidR="004A6D6C" w:rsidRPr="00394B5A" w:rsidRDefault="004A6D6C" w:rsidP="001B2EB9">
            <w:pPr>
              <w:spacing w:after="0" w:line="240" w:lineRule="auto"/>
              <w:jc w:val="center"/>
              <w:rPr>
                <w:rFonts w:asciiTheme="majorBidi" w:hAnsiTheme="majorBidi" w:cstheme="majorBidi"/>
                <w:b/>
                <w:bCs/>
              </w:rPr>
            </w:pPr>
          </w:p>
        </w:tc>
      </w:tr>
    </w:tbl>
    <w:p w14:paraId="6838E8F4" w14:textId="77777777" w:rsidR="004A6D6C" w:rsidRPr="001B2EB9" w:rsidRDefault="004A6D6C" w:rsidP="00AB732B">
      <w:pPr>
        <w:spacing w:line="240" w:lineRule="auto"/>
        <w:jc w:val="both"/>
        <w:rPr>
          <w:rFonts w:asciiTheme="majorBidi" w:hAnsiTheme="majorBidi" w:cstheme="majorBidi"/>
          <w:sz w:val="24"/>
          <w:szCs w:val="24"/>
          <w:lang w:val="en-US"/>
        </w:rPr>
      </w:pPr>
    </w:p>
    <w:p w14:paraId="66C46689" w14:textId="3B9156A3" w:rsidR="00A852C5" w:rsidRDefault="001B2EB9" w:rsidP="001B2EB9">
      <w:pPr>
        <w:jc w:val="center"/>
        <w:rPr>
          <w:rFonts w:asciiTheme="majorBidi" w:hAnsiTheme="majorBidi" w:cstheme="majorBidi"/>
          <w:sz w:val="24"/>
          <w:szCs w:val="24"/>
          <w:rtl/>
        </w:rPr>
        <w:sectPr w:rsidR="00A852C5" w:rsidSect="00B77DBC">
          <w:type w:val="continuous"/>
          <w:pgSz w:w="11906" w:h="16838"/>
          <w:pgMar w:top="1134" w:right="1134" w:bottom="1134" w:left="1134" w:header="709" w:footer="709" w:gutter="0"/>
          <w:cols w:space="454"/>
          <w:titlePg/>
          <w:docGrid w:linePitch="360"/>
        </w:sectPr>
      </w:pPr>
      <w:r w:rsidRPr="000A5236">
        <w:rPr>
          <w:b/>
          <w:bCs/>
          <w:noProof/>
          <w:lang w:val="en-US"/>
        </w:rPr>
        <w:lastRenderedPageBreak/>
        <w:drawing>
          <wp:inline distT="0" distB="0" distL="0" distR="0" wp14:anchorId="51B57E9C" wp14:editId="4A0AAE82">
            <wp:extent cx="5534025" cy="2733675"/>
            <wp:effectExtent l="0" t="0" r="9525" b="9525"/>
            <wp:docPr id="9" name="مخطط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331A27" w14:textId="147CDFEE" w:rsidR="001A420D" w:rsidRPr="00A852C5" w:rsidRDefault="001B2EB9" w:rsidP="00AB732B">
      <w:pPr>
        <w:tabs>
          <w:tab w:val="left" w:pos="3131"/>
        </w:tabs>
        <w:spacing w:line="36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00A852C5" w:rsidRPr="00A852C5">
        <w:rPr>
          <w:rFonts w:asciiTheme="majorBidi" w:hAnsiTheme="majorBidi" w:cstheme="majorBidi"/>
          <w:b/>
          <w:bCs/>
          <w:sz w:val="24"/>
          <w:szCs w:val="24"/>
        </w:rPr>
        <w:t xml:space="preserve">Figure </w:t>
      </w:r>
      <w:r w:rsidR="00AD1964">
        <w:rPr>
          <w:rFonts w:asciiTheme="majorBidi" w:hAnsiTheme="majorBidi" w:cstheme="majorBidi"/>
          <w:b/>
          <w:bCs/>
          <w:sz w:val="24"/>
          <w:szCs w:val="24"/>
          <w:lang w:val="en-US"/>
        </w:rPr>
        <w:t>5</w:t>
      </w:r>
      <w:r w:rsidR="00A852C5" w:rsidRPr="00A852C5">
        <w:rPr>
          <w:rFonts w:asciiTheme="majorBidi" w:hAnsiTheme="majorBidi" w:cstheme="majorBidi"/>
          <w:b/>
          <w:bCs/>
          <w:sz w:val="24"/>
          <w:szCs w:val="24"/>
        </w:rPr>
        <w:t>: Serum Cytokine Lev</w:t>
      </w:r>
      <w:r w:rsidR="00A852C5">
        <w:rPr>
          <w:rFonts w:asciiTheme="majorBidi" w:hAnsiTheme="majorBidi" w:cstheme="majorBidi"/>
          <w:b/>
          <w:bCs/>
          <w:sz w:val="24"/>
          <w:szCs w:val="24"/>
        </w:rPr>
        <w:t>els (pg/mL) according to gender</w:t>
      </w:r>
      <w:r w:rsidR="00A852C5">
        <w:rPr>
          <w:rFonts w:asciiTheme="majorBidi" w:hAnsiTheme="majorBidi" w:cstheme="majorBidi"/>
          <w:b/>
          <w:bCs/>
          <w:sz w:val="24"/>
          <w:szCs w:val="24"/>
          <w:lang w:val="en-US"/>
        </w:rPr>
        <w:t>.</w:t>
      </w:r>
    </w:p>
    <w:p w14:paraId="53842EE8" w14:textId="77777777" w:rsidR="004A6D6C" w:rsidRPr="008343CF" w:rsidRDefault="004A6D6C" w:rsidP="00AB732B">
      <w:pPr>
        <w:jc w:val="both"/>
        <w:rPr>
          <w:rFonts w:asciiTheme="majorBidi" w:hAnsiTheme="majorBidi" w:cstheme="majorBidi"/>
          <w:b/>
          <w:bCs/>
          <w:sz w:val="28"/>
          <w:szCs w:val="28"/>
        </w:rPr>
      </w:pPr>
      <w:r w:rsidRPr="008343CF">
        <w:rPr>
          <w:rFonts w:asciiTheme="majorBidi" w:hAnsiTheme="majorBidi" w:cstheme="majorBidi"/>
          <w:b/>
          <w:bCs/>
          <w:sz w:val="28"/>
          <w:szCs w:val="28"/>
        </w:rPr>
        <w:t>CONCLUSTIONS</w:t>
      </w:r>
    </w:p>
    <w:p w14:paraId="53E8DC2C" w14:textId="77777777" w:rsidR="001B2EB9" w:rsidRDefault="001B2EB9" w:rsidP="00AB732B">
      <w:pPr>
        <w:spacing w:after="0"/>
        <w:jc w:val="both"/>
        <w:rPr>
          <w:rFonts w:asciiTheme="majorBidi" w:hAnsiTheme="majorBidi" w:cstheme="majorBidi"/>
          <w:sz w:val="24"/>
          <w:szCs w:val="24"/>
          <w:lang w:val="en-US"/>
        </w:rPr>
        <w:sectPr w:rsidR="001B2EB9" w:rsidSect="00B77DBC">
          <w:type w:val="continuous"/>
          <w:pgSz w:w="11906" w:h="16838"/>
          <w:pgMar w:top="1134" w:right="1134" w:bottom="1134" w:left="1134" w:header="709" w:footer="709" w:gutter="0"/>
          <w:cols w:space="454"/>
          <w:titlePg/>
          <w:docGrid w:linePitch="360"/>
        </w:sectPr>
      </w:pPr>
    </w:p>
    <w:p w14:paraId="1108570C" w14:textId="29B3058E" w:rsidR="004A6D6C" w:rsidRPr="000A5236" w:rsidRDefault="001B2EB9" w:rsidP="001B2EB9">
      <w:pPr>
        <w:spacing w:after="0"/>
        <w:jc w:val="both"/>
        <w:rPr>
          <w:rFonts w:asciiTheme="majorBidi" w:hAnsiTheme="majorBidi" w:cstheme="majorBidi"/>
          <w:sz w:val="24"/>
          <w:szCs w:val="24"/>
        </w:rPr>
      </w:pPr>
      <w:r>
        <w:rPr>
          <w:rFonts w:asciiTheme="majorBidi" w:hAnsiTheme="majorBidi" w:cstheme="majorBidi"/>
          <w:sz w:val="24"/>
          <w:szCs w:val="24"/>
          <w:lang w:val="en-US"/>
        </w:rPr>
        <w:t xml:space="preserve">      </w:t>
      </w:r>
      <w:r w:rsidR="004A6D6C" w:rsidRPr="000A5236">
        <w:rPr>
          <w:rFonts w:asciiTheme="majorBidi" w:hAnsiTheme="majorBidi" w:cstheme="majorBidi"/>
          <w:sz w:val="24"/>
          <w:szCs w:val="24"/>
        </w:rPr>
        <w:t>This study shows differential responses to cytokine storms caused by influenza, parainfluenza, and rhinovirus infections. Some of the key findings are:</w:t>
      </w:r>
    </w:p>
    <w:p w14:paraId="080015E5" w14:textId="77777777" w:rsidR="004A6D6C" w:rsidRPr="000A5236" w:rsidRDefault="004A6D6C" w:rsidP="001B2EB9">
      <w:pPr>
        <w:spacing w:after="0"/>
        <w:jc w:val="both"/>
        <w:rPr>
          <w:rFonts w:asciiTheme="majorBidi" w:hAnsiTheme="majorBidi" w:cstheme="majorBidi"/>
          <w:sz w:val="24"/>
          <w:szCs w:val="24"/>
        </w:rPr>
      </w:pPr>
      <w:r w:rsidRPr="000A5236">
        <w:rPr>
          <w:rFonts w:asciiTheme="majorBidi" w:hAnsiTheme="majorBidi" w:cstheme="majorBidi"/>
          <w:sz w:val="24"/>
          <w:szCs w:val="24"/>
        </w:rPr>
        <w:t>1. Influenza virus is a more powerful inducer of cytokine storms in older adults and females as per elevated levels of IL-6, TNF-α, and IL-1β.</w:t>
      </w:r>
    </w:p>
    <w:p w14:paraId="06549DF4" w14:textId="77777777" w:rsidR="004A6D6C" w:rsidRPr="000A5236" w:rsidRDefault="004A6D6C" w:rsidP="001B2EB9">
      <w:pPr>
        <w:spacing w:after="0"/>
        <w:jc w:val="both"/>
        <w:rPr>
          <w:rFonts w:asciiTheme="majorBidi" w:hAnsiTheme="majorBidi" w:cstheme="majorBidi"/>
          <w:sz w:val="24"/>
          <w:szCs w:val="24"/>
        </w:rPr>
      </w:pPr>
      <w:r w:rsidRPr="000A5236">
        <w:rPr>
          <w:rFonts w:asciiTheme="majorBidi" w:hAnsiTheme="majorBidi" w:cstheme="majorBidi"/>
          <w:sz w:val="24"/>
          <w:szCs w:val="24"/>
        </w:rPr>
        <w:t>2. Age is an important demographic factor since immune senescence and inflammation result in cytokine dysregulation in older adults.</w:t>
      </w:r>
    </w:p>
    <w:p w14:paraId="773C501C" w14:textId="77777777" w:rsidR="004A6D6C" w:rsidRPr="000A5236" w:rsidRDefault="004A6D6C" w:rsidP="001B2EB9">
      <w:pPr>
        <w:spacing w:after="0"/>
        <w:jc w:val="both"/>
        <w:rPr>
          <w:rFonts w:asciiTheme="majorBidi" w:hAnsiTheme="majorBidi" w:cstheme="majorBidi"/>
          <w:sz w:val="24"/>
          <w:szCs w:val="24"/>
        </w:rPr>
      </w:pPr>
      <w:r w:rsidRPr="000A5236">
        <w:rPr>
          <w:rFonts w:asciiTheme="majorBidi" w:hAnsiTheme="majorBidi" w:cstheme="majorBidi"/>
          <w:sz w:val="24"/>
          <w:szCs w:val="24"/>
        </w:rPr>
        <w:t>3. Gender variation reports greater immune responses in females, which could be explained through hormonal and genetic processes.</w:t>
      </w:r>
    </w:p>
    <w:p w14:paraId="5FDA4465" w14:textId="77777777" w:rsidR="004A6D6C" w:rsidRPr="000A5236" w:rsidRDefault="004A6D6C" w:rsidP="001B2EB9">
      <w:pPr>
        <w:spacing w:after="0"/>
        <w:jc w:val="both"/>
        <w:rPr>
          <w:rFonts w:asciiTheme="majorBidi" w:hAnsiTheme="majorBidi" w:cstheme="majorBidi"/>
          <w:sz w:val="24"/>
          <w:szCs w:val="24"/>
        </w:rPr>
      </w:pPr>
      <w:r w:rsidRPr="000A5236">
        <w:rPr>
          <w:rFonts w:asciiTheme="majorBidi" w:hAnsiTheme="majorBidi" w:cstheme="majorBidi"/>
          <w:sz w:val="24"/>
          <w:szCs w:val="24"/>
        </w:rPr>
        <w:t>4. Clinical importance: These findings outline age- and sex-adjusted therapeutic approaches that would minimize the severity of viral respiratory infection-induced cytokine storms. Further studies need to explore larger populations and other cytokines in order to refine treatment protocols.</w:t>
      </w:r>
    </w:p>
    <w:p w14:paraId="5664218F" w14:textId="77777777" w:rsidR="00C13343" w:rsidRDefault="00C13343" w:rsidP="001B2EB9">
      <w:pPr>
        <w:spacing w:after="120"/>
        <w:jc w:val="both"/>
        <w:rPr>
          <w:rFonts w:asciiTheme="majorBidi" w:eastAsia="Arial Unicode MS" w:hAnsiTheme="majorBidi" w:cstheme="majorBidi"/>
          <w:b/>
          <w:bCs/>
          <w:color w:val="000000"/>
          <w:sz w:val="28"/>
          <w:szCs w:val="28"/>
          <w:bdr w:val="none" w:sz="0" w:space="0" w:color="auto" w:frame="1"/>
          <w:lang w:val="en-US"/>
          <w14:textOutline w14:w="12700" w14:cap="flat" w14:cmpd="sng" w14:algn="ctr">
            <w14:noFill/>
            <w14:prstDash w14:val="solid"/>
            <w14:miter w14:lim="100000"/>
          </w14:textOutline>
        </w:rPr>
      </w:pPr>
    </w:p>
    <w:p w14:paraId="0F6D1383" w14:textId="77777777" w:rsidR="001B2EB9" w:rsidRPr="001B2EB9" w:rsidRDefault="001B2EB9" w:rsidP="001B2EB9">
      <w:pPr>
        <w:spacing w:after="120"/>
        <w:jc w:val="both"/>
        <w:rPr>
          <w:rFonts w:asciiTheme="majorBidi" w:eastAsia="Arial Unicode MS" w:hAnsiTheme="majorBidi" w:cstheme="majorBidi"/>
          <w:b/>
          <w:bCs/>
          <w:color w:val="000000"/>
          <w:sz w:val="28"/>
          <w:szCs w:val="28"/>
          <w:bdr w:val="none" w:sz="0" w:space="0" w:color="auto" w:frame="1"/>
          <w:lang w:val="en-US"/>
          <w14:textOutline w14:w="12700" w14:cap="flat" w14:cmpd="sng" w14:algn="ctr">
            <w14:noFill/>
            <w14:prstDash w14:val="solid"/>
            <w14:miter w14:lim="100000"/>
          </w14:textOutline>
        </w:rPr>
        <w:sectPr w:rsidR="001B2EB9" w:rsidRPr="001B2EB9" w:rsidSect="001B2EB9">
          <w:type w:val="continuous"/>
          <w:pgSz w:w="11906" w:h="16838"/>
          <w:pgMar w:top="1134" w:right="1134" w:bottom="1134" w:left="1134" w:header="709" w:footer="709" w:gutter="0"/>
          <w:cols w:num="2" w:space="454"/>
          <w:titlePg/>
          <w:docGrid w:linePitch="360"/>
        </w:sectPr>
      </w:pPr>
    </w:p>
    <w:p w14:paraId="10326973" w14:textId="79040E68" w:rsidR="002C0024" w:rsidRPr="001B2EB9" w:rsidRDefault="001A420D" w:rsidP="001B2EB9">
      <w:pPr>
        <w:jc w:val="both"/>
        <w:rPr>
          <w:rFonts w:asciiTheme="majorBidi" w:hAnsiTheme="majorBidi" w:cstheme="majorBidi"/>
          <w:b/>
          <w:bCs/>
          <w:sz w:val="28"/>
          <w:szCs w:val="28"/>
          <w:lang w:val="en-US"/>
        </w:rPr>
      </w:pPr>
      <w:r w:rsidRPr="001B2EB9">
        <w:rPr>
          <w:rFonts w:asciiTheme="majorBidi" w:hAnsiTheme="majorBidi" w:cstheme="majorBidi"/>
          <w:b/>
          <w:bCs/>
          <w:sz w:val="28"/>
          <w:szCs w:val="28"/>
        </w:rPr>
        <w:t>R</w:t>
      </w:r>
      <w:r w:rsidRPr="001B2EB9">
        <w:rPr>
          <w:rFonts w:asciiTheme="majorBidi" w:hAnsiTheme="majorBidi" w:cstheme="majorBidi"/>
          <w:b/>
          <w:bCs/>
          <w:sz w:val="28"/>
          <w:szCs w:val="28"/>
          <w:lang w:val="en-US"/>
        </w:rPr>
        <w:t>EFERENCES</w:t>
      </w:r>
    </w:p>
    <w:p w14:paraId="1E6EE8A0" w14:textId="77777777" w:rsidR="00C13343" w:rsidRDefault="00C13343" w:rsidP="001B2EB9">
      <w:pPr>
        <w:pStyle w:val="ListParagraph"/>
        <w:numPr>
          <w:ilvl w:val="0"/>
          <w:numId w:val="3"/>
        </w:numPr>
        <w:spacing w:after="200" w:line="276" w:lineRule="auto"/>
        <w:ind w:left="567"/>
        <w:rPr>
          <w:rFonts w:asciiTheme="majorBidi" w:hAnsiTheme="majorBidi" w:cstheme="majorBidi"/>
          <w:color w:val="222222"/>
          <w:szCs w:val="24"/>
          <w:shd w:val="clear" w:color="auto" w:fill="FFFFFF"/>
        </w:rPr>
        <w:sectPr w:rsidR="00C13343" w:rsidSect="001B2EB9">
          <w:type w:val="continuous"/>
          <w:pgSz w:w="11906" w:h="16838"/>
          <w:pgMar w:top="1134" w:right="1134" w:bottom="1134" w:left="1134" w:header="709" w:footer="709" w:gutter="0"/>
          <w:cols w:num="2" w:space="454"/>
          <w:titlePg/>
          <w:docGrid w:linePitch="360"/>
        </w:sectPr>
      </w:pPr>
    </w:p>
    <w:p w14:paraId="0C315342" w14:textId="77777777" w:rsidR="000B717B" w:rsidRPr="000B717B" w:rsidRDefault="000B717B" w:rsidP="000B717B">
      <w:pPr>
        <w:pStyle w:val="ListParagraph"/>
        <w:numPr>
          <w:ilvl w:val="0"/>
          <w:numId w:val="3"/>
        </w:numPr>
        <w:spacing w:line="276" w:lineRule="auto"/>
        <w:rPr>
          <w:rFonts w:asciiTheme="majorBidi" w:hAnsiTheme="majorBidi" w:cs="Times New Roman"/>
          <w:color w:val="222222"/>
          <w:szCs w:val="24"/>
          <w:shd w:val="clear" w:color="auto" w:fill="FFFFFF"/>
        </w:rPr>
      </w:pPr>
      <w:proofErr w:type="spellStart"/>
      <w:r w:rsidRPr="000B717B">
        <w:rPr>
          <w:rFonts w:asciiTheme="majorBidi" w:hAnsiTheme="majorBidi" w:cstheme="majorBidi"/>
          <w:color w:val="222222"/>
          <w:szCs w:val="24"/>
          <w:shd w:val="clear" w:color="auto" w:fill="FFFFFF"/>
        </w:rPr>
        <w:t>Jarczak</w:t>
      </w:r>
      <w:proofErr w:type="spellEnd"/>
      <w:r w:rsidRPr="000B717B">
        <w:rPr>
          <w:rFonts w:asciiTheme="majorBidi" w:hAnsiTheme="majorBidi" w:cstheme="majorBidi"/>
          <w:color w:val="222222"/>
          <w:szCs w:val="24"/>
          <w:shd w:val="clear" w:color="auto" w:fill="FFFFFF"/>
        </w:rPr>
        <w:t xml:space="preserve">, D., &amp; </w:t>
      </w:r>
      <w:proofErr w:type="spellStart"/>
      <w:r w:rsidRPr="000B717B">
        <w:rPr>
          <w:rFonts w:asciiTheme="majorBidi" w:hAnsiTheme="majorBidi" w:cstheme="majorBidi"/>
          <w:color w:val="222222"/>
          <w:szCs w:val="24"/>
          <w:shd w:val="clear" w:color="auto" w:fill="FFFFFF"/>
        </w:rPr>
        <w:t>Nierhaus</w:t>
      </w:r>
      <w:proofErr w:type="spellEnd"/>
      <w:r w:rsidRPr="000B717B">
        <w:rPr>
          <w:rFonts w:asciiTheme="majorBidi" w:hAnsiTheme="majorBidi" w:cstheme="majorBidi"/>
          <w:color w:val="222222"/>
          <w:szCs w:val="24"/>
          <w:shd w:val="clear" w:color="auto" w:fill="FFFFFF"/>
        </w:rPr>
        <w:t>, A. (2022). Cytokine storm—definition, causes, and implications. International journal of molecular sciences, 23(19), 11740.</w:t>
      </w:r>
      <w:r w:rsidRPr="000B717B">
        <w:rPr>
          <w:rFonts w:asciiTheme="majorBidi" w:hAnsiTheme="majorBidi" w:cs="Times New Roman"/>
          <w:color w:val="222222"/>
          <w:szCs w:val="24"/>
          <w:shd w:val="clear" w:color="auto" w:fill="FFFFFF"/>
          <w:rtl/>
        </w:rPr>
        <w:t>‏</w:t>
      </w:r>
    </w:p>
    <w:p w14:paraId="01DA86C5" w14:textId="5B53CC9D"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Rabaan</w:t>
      </w:r>
      <w:proofErr w:type="spellEnd"/>
      <w:r w:rsidRPr="000B717B">
        <w:rPr>
          <w:rFonts w:asciiTheme="majorBidi" w:hAnsiTheme="majorBidi" w:cstheme="majorBidi"/>
          <w:color w:val="222222"/>
          <w:szCs w:val="24"/>
          <w:shd w:val="clear" w:color="auto" w:fill="FFFFFF"/>
        </w:rPr>
        <w:t xml:space="preserve">, A. A., Al-Ahmed, S. H., Muhammad, J., Khan, A., Sule, A. A., Tirupathi, R., ... &amp; </w:t>
      </w:r>
      <w:proofErr w:type="spellStart"/>
      <w:r w:rsidRPr="000B717B">
        <w:rPr>
          <w:rFonts w:asciiTheme="majorBidi" w:hAnsiTheme="majorBidi" w:cstheme="majorBidi"/>
          <w:color w:val="222222"/>
          <w:szCs w:val="24"/>
          <w:shd w:val="clear" w:color="auto" w:fill="FFFFFF"/>
        </w:rPr>
        <w:t>Dhama</w:t>
      </w:r>
      <w:proofErr w:type="spellEnd"/>
      <w:r w:rsidRPr="000B717B">
        <w:rPr>
          <w:rFonts w:asciiTheme="majorBidi" w:hAnsiTheme="majorBidi" w:cstheme="majorBidi"/>
          <w:color w:val="222222"/>
          <w:szCs w:val="24"/>
          <w:shd w:val="clear" w:color="auto" w:fill="FFFFFF"/>
        </w:rPr>
        <w:t>, K. (2021). Role of inflammatory cytokines in COVID-19 patients: a review on molecular mechanisms, immune functions, immunopathology and immunomodulatory drugs to counter cytokine storm. </w:t>
      </w:r>
      <w:r w:rsidRPr="000B717B">
        <w:rPr>
          <w:rFonts w:asciiTheme="majorBidi" w:hAnsiTheme="majorBidi" w:cstheme="majorBidi"/>
          <w:i/>
          <w:iCs/>
          <w:color w:val="222222"/>
          <w:szCs w:val="24"/>
          <w:shd w:val="clear" w:color="auto" w:fill="FFFFFF"/>
        </w:rPr>
        <w:t>Vaccines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9</w:t>
      </w:r>
      <w:r w:rsidRPr="000B717B">
        <w:rPr>
          <w:rFonts w:asciiTheme="majorBidi" w:hAnsiTheme="majorBidi" w:cstheme="majorBidi"/>
          <w:color w:val="222222"/>
          <w:szCs w:val="24"/>
          <w:shd w:val="clear" w:color="auto" w:fill="FFFFFF"/>
        </w:rPr>
        <w:t>(5), 436.</w:t>
      </w:r>
    </w:p>
    <w:p w14:paraId="3770EB2A"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Hu, B., Huang, S., &amp; Yin, L. (2021). The cytokine storm and COVID‐19. </w:t>
      </w:r>
      <w:r w:rsidRPr="000B717B">
        <w:rPr>
          <w:rFonts w:asciiTheme="majorBidi" w:hAnsiTheme="majorBidi" w:cstheme="majorBidi"/>
          <w:i/>
          <w:iCs/>
          <w:color w:val="222222"/>
          <w:szCs w:val="24"/>
          <w:shd w:val="clear" w:color="auto" w:fill="FFFFFF"/>
        </w:rPr>
        <w:t>Journal of medical virology</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93</w:t>
      </w:r>
      <w:r w:rsidRPr="000B717B">
        <w:rPr>
          <w:rFonts w:asciiTheme="majorBidi" w:hAnsiTheme="majorBidi" w:cstheme="majorBidi"/>
          <w:color w:val="222222"/>
          <w:szCs w:val="24"/>
          <w:shd w:val="clear" w:color="auto" w:fill="FFFFFF"/>
        </w:rPr>
        <w:t>(1), 250-256.</w:t>
      </w:r>
      <w:r w:rsidRPr="000B717B">
        <w:rPr>
          <w:rFonts w:asciiTheme="majorBidi" w:hAnsiTheme="majorBidi" w:cstheme="majorBidi"/>
          <w:color w:val="222222"/>
          <w:szCs w:val="24"/>
          <w:shd w:val="clear" w:color="auto" w:fill="FFFFFF"/>
          <w:rtl/>
        </w:rPr>
        <w:t>‏</w:t>
      </w:r>
    </w:p>
    <w:p w14:paraId="01FA7B90"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Marcuzzi</w:t>
      </w:r>
      <w:proofErr w:type="spellEnd"/>
      <w:r w:rsidRPr="000B717B">
        <w:rPr>
          <w:rFonts w:asciiTheme="majorBidi" w:hAnsiTheme="majorBidi" w:cstheme="majorBidi"/>
          <w:color w:val="222222"/>
          <w:szCs w:val="24"/>
          <w:shd w:val="clear" w:color="auto" w:fill="FFFFFF"/>
        </w:rPr>
        <w:t xml:space="preserve">, A., Melloni, E., </w:t>
      </w:r>
      <w:proofErr w:type="spellStart"/>
      <w:r w:rsidRPr="000B717B">
        <w:rPr>
          <w:rFonts w:asciiTheme="majorBidi" w:hAnsiTheme="majorBidi" w:cstheme="majorBidi"/>
          <w:color w:val="222222"/>
          <w:szCs w:val="24"/>
          <w:shd w:val="clear" w:color="auto" w:fill="FFFFFF"/>
        </w:rPr>
        <w:t>Zauli</w:t>
      </w:r>
      <w:proofErr w:type="spellEnd"/>
      <w:r w:rsidRPr="000B717B">
        <w:rPr>
          <w:rFonts w:asciiTheme="majorBidi" w:hAnsiTheme="majorBidi" w:cstheme="majorBidi"/>
          <w:color w:val="222222"/>
          <w:szCs w:val="24"/>
          <w:shd w:val="clear" w:color="auto" w:fill="FFFFFF"/>
        </w:rPr>
        <w:t xml:space="preserve">, G., Romani, A., </w:t>
      </w:r>
      <w:proofErr w:type="spellStart"/>
      <w:r w:rsidRPr="000B717B">
        <w:rPr>
          <w:rFonts w:asciiTheme="majorBidi" w:hAnsiTheme="majorBidi" w:cstheme="majorBidi"/>
          <w:color w:val="222222"/>
          <w:szCs w:val="24"/>
          <w:shd w:val="clear" w:color="auto" w:fill="FFFFFF"/>
        </w:rPr>
        <w:t>Secchiero</w:t>
      </w:r>
      <w:proofErr w:type="spellEnd"/>
      <w:r w:rsidRPr="000B717B">
        <w:rPr>
          <w:rFonts w:asciiTheme="majorBidi" w:hAnsiTheme="majorBidi" w:cstheme="majorBidi"/>
          <w:color w:val="222222"/>
          <w:szCs w:val="24"/>
          <w:shd w:val="clear" w:color="auto" w:fill="FFFFFF"/>
        </w:rPr>
        <w:t xml:space="preserve">, P., Maximova, N., &amp; </w:t>
      </w:r>
      <w:proofErr w:type="spellStart"/>
      <w:r w:rsidRPr="000B717B">
        <w:rPr>
          <w:rFonts w:asciiTheme="majorBidi" w:hAnsiTheme="majorBidi" w:cstheme="majorBidi"/>
          <w:color w:val="222222"/>
          <w:szCs w:val="24"/>
          <w:shd w:val="clear" w:color="auto" w:fill="FFFFFF"/>
        </w:rPr>
        <w:t>Rimondi</w:t>
      </w:r>
      <w:proofErr w:type="spellEnd"/>
      <w:r w:rsidRPr="000B717B">
        <w:rPr>
          <w:rFonts w:asciiTheme="majorBidi" w:hAnsiTheme="majorBidi" w:cstheme="majorBidi"/>
          <w:color w:val="222222"/>
          <w:szCs w:val="24"/>
          <w:shd w:val="clear" w:color="auto" w:fill="FFFFFF"/>
        </w:rPr>
        <w:t>, E. (2021). Autoinflammatory diseases and cytokine storms—imbalances of innate and adaptative immunity. </w:t>
      </w:r>
      <w:r w:rsidRPr="000B717B">
        <w:rPr>
          <w:rFonts w:asciiTheme="majorBidi" w:hAnsiTheme="majorBidi" w:cstheme="majorBidi"/>
          <w:i/>
          <w:iCs/>
          <w:color w:val="222222"/>
          <w:szCs w:val="24"/>
          <w:shd w:val="clear" w:color="auto" w:fill="FFFFFF"/>
        </w:rPr>
        <w:t>International Journal of Molecular Sciences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22</w:t>
      </w:r>
      <w:r w:rsidRPr="000B717B">
        <w:rPr>
          <w:rFonts w:asciiTheme="majorBidi" w:hAnsiTheme="majorBidi" w:cstheme="majorBidi"/>
          <w:color w:val="222222"/>
          <w:szCs w:val="24"/>
          <w:shd w:val="clear" w:color="auto" w:fill="FFFFFF"/>
        </w:rPr>
        <w:t xml:space="preserve">(20), </w:t>
      </w:r>
      <w:proofErr w:type="gramStart"/>
      <w:r w:rsidRPr="000B717B">
        <w:rPr>
          <w:rFonts w:asciiTheme="majorBidi" w:hAnsiTheme="majorBidi" w:cstheme="majorBidi"/>
          <w:color w:val="222222"/>
          <w:szCs w:val="24"/>
          <w:shd w:val="clear" w:color="auto" w:fill="FFFFFF"/>
        </w:rPr>
        <w:t>11241.</w:t>
      </w:r>
      <w:r w:rsidRPr="000B717B">
        <w:rPr>
          <w:rFonts w:asciiTheme="majorBidi" w:hAnsiTheme="majorBidi" w:cstheme="majorBidi"/>
          <w:szCs w:val="24"/>
        </w:rPr>
        <w:t>.</w:t>
      </w:r>
      <w:proofErr w:type="gramEnd"/>
    </w:p>
    <w:p w14:paraId="0162EA81"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Peiris, J. M., &amp; Madeley, C. R. (2020). Respiratory Viruses. </w:t>
      </w:r>
      <w:r w:rsidRPr="000B717B">
        <w:rPr>
          <w:rFonts w:asciiTheme="majorBidi" w:hAnsiTheme="majorBidi" w:cstheme="majorBidi"/>
          <w:i/>
          <w:iCs/>
          <w:color w:val="222222"/>
          <w:szCs w:val="24"/>
          <w:shd w:val="clear" w:color="auto" w:fill="FFFFFF"/>
        </w:rPr>
        <w:t>Manson's Tropical Diseases</w:t>
      </w:r>
      <w:r w:rsidRPr="000B717B">
        <w:rPr>
          <w:rFonts w:asciiTheme="majorBidi" w:hAnsiTheme="majorBidi" w:cstheme="majorBidi"/>
          <w:color w:val="222222"/>
          <w:szCs w:val="24"/>
          <w:shd w:val="clear" w:color="auto" w:fill="FFFFFF"/>
        </w:rPr>
        <w:t xml:space="preserve">, </w:t>
      </w:r>
      <w:proofErr w:type="gramStart"/>
      <w:r w:rsidRPr="000B717B">
        <w:rPr>
          <w:rFonts w:asciiTheme="majorBidi" w:hAnsiTheme="majorBidi" w:cstheme="majorBidi"/>
          <w:color w:val="222222"/>
          <w:szCs w:val="24"/>
          <w:shd w:val="clear" w:color="auto" w:fill="FFFFFF"/>
        </w:rPr>
        <w:t>825.</w:t>
      </w:r>
      <w:r w:rsidRPr="000B717B">
        <w:rPr>
          <w:rFonts w:asciiTheme="majorBidi" w:hAnsiTheme="majorBidi" w:cstheme="majorBidi"/>
          <w:color w:val="222222"/>
          <w:szCs w:val="24"/>
          <w:shd w:val="clear" w:color="auto" w:fill="FFFFFF"/>
          <w:rtl/>
        </w:rPr>
        <w:t>‏</w:t>
      </w:r>
      <w:r w:rsidRPr="000B717B">
        <w:rPr>
          <w:rFonts w:asciiTheme="majorBidi" w:hAnsiTheme="majorBidi" w:cstheme="majorBidi"/>
          <w:szCs w:val="24"/>
        </w:rPr>
        <w:t>.</w:t>
      </w:r>
      <w:proofErr w:type="gramEnd"/>
    </w:p>
    <w:p w14:paraId="4ACB0A44"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lastRenderedPageBreak/>
        <w:t>Jiang, C., Yao, X., Zhao, Y., Wu, J., Huang, P., Pan, C., ... &amp; Pan, C. (2020). Comparative review of respiratory diseases caused by coronaviruses and influenza A viruses during epidemic season. </w:t>
      </w:r>
      <w:r w:rsidRPr="000B717B">
        <w:rPr>
          <w:rFonts w:asciiTheme="majorBidi" w:hAnsiTheme="majorBidi" w:cstheme="majorBidi"/>
          <w:i/>
          <w:iCs/>
          <w:color w:val="222222"/>
          <w:szCs w:val="24"/>
          <w:shd w:val="clear" w:color="auto" w:fill="FFFFFF"/>
        </w:rPr>
        <w:t>Microbes and infection</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22</w:t>
      </w:r>
      <w:r w:rsidRPr="000B717B">
        <w:rPr>
          <w:rFonts w:asciiTheme="majorBidi" w:hAnsiTheme="majorBidi" w:cstheme="majorBidi"/>
          <w:color w:val="222222"/>
          <w:szCs w:val="24"/>
          <w:shd w:val="clear" w:color="auto" w:fill="FFFFFF"/>
        </w:rPr>
        <w:t>(6-7), 236-</w:t>
      </w:r>
      <w:proofErr w:type="gramStart"/>
      <w:r w:rsidRPr="000B717B">
        <w:rPr>
          <w:rFonts w:asciiTheme="majorBidi" w:hAnsiTheme="majorBidi" w:cstheme="majorBidi"/>
          <w:color w:val="222222"/>
          <w:szCs w:val="24"/>
          <w:shd w:val="clear" w:color="auto" w:fill="FFFFFF"/>
        </w:rPr>
        <w:t>244.</w:t>
      </w:r>
      <w:r w:rsidRPr="000B717B">
        <w:rPr>
          <w:rFonts w:asciiTheme="majorBidi" w:hAnsiTheme="majorBidi" w:cstheme="majorBidi"/>
          <w:color w:val="222222"/>
          <w:szCs w:val="24"/>
          <w:shd w:val="clear" w:color="auto" w:fill="FFFFFF"/>
          <w:rtl/>
        </w:rPr>
        <w:t>‏</w:t>
      </w:r>
      <w:r w:rsidRPr="000B717B">
        <w:rPr>
          <w:rFonts w:asciiTheme="majorBidi" w:hAnsiTheme="majorBidi" w:cstheme="majorBidi"/>
          <w:szCs w:val="24"/>
        </w:rPr>
        <w:t>.</w:t>
      </w:r>
      <w:proofErr w:type="gramEnd"/>
    </w:p>
    <w:p w14:paraId="6A55B467"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Shaw Stewart, P. D., &amp; Bach, J. L. (2022). Temperature dependent viral tropism: understanding viral seasonality and pathogenicity as applied to the avoidance and treatment of endemic viral respiratory illnesses. </w:t>
      </w:r>
      <w:r w:rsidRPr="000B717B">
        <w:rPr>
          <w:rFonts w:asciiTheme="majorBidi" w:hAnsiTheme="majorBidi" w:cstheme="majorBidi"/>
          <w:i/>
          <w:iCs/>
          <w:color w:val="222222"/>
          <w:szCs w:val="24"/>
          <w:shd w:val="clear" w:color="auto" w:fill="FFFFFF"/>
        </w:rPr>
        <w:t>Reviews in Medical Virology</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32</w:t>
      </w:r>
      <w:r w:rsidRPr="000B717B">
        <w:rPr>
          <w:rFonts w:asciiTheme="majorBidi" w:hAnsiTheme="majorBidi" w:cstheme="majorBidi"/>
          <w:color w:val="222222"/>
          <w:szCs w:val="24"/>
          <w:shd w:val="clear" w:color="auto" w:fill="FFFFFF"/>
        </w:rPr>
        <w:t>(1), e</w:t>
      </w:r>
      <w:proofErr w:type="gramStart"/>
      <w:r w:rsidRPr="000B717B">
        <w:rPr>
          <w:rFonts w:asciiTheme="majorBidi" w:hAnsiTheme="majorBidi" w:cstheme="majorBidi"/>
          <w:color w:val="222222"/>
          <w:szCs w:val="24"/>
          <w:shd w:val="clear" w:color="auto" w:fill="FFFFFF"/>
        </w:rPr>
        <w:t>2241.</w:t>
      </w:r>
      <w:r w:rsidRPr="000B717B">
        <w:rPr>
          <w:rFonts w:asciiTheme="majorBidi" w:hAnsiTheme="majorBidi" w:cstheme="majorBidi"/>
          <w:color w:val="222222"/>
          <w:szCs w:val="24"/>
          <w:shd w:val="clear" w:color="auto" w:fill="FFFFFF"/>
          <w:rtl/>
        </w:rPr>
        <w:t>‏</w:t>
      </w:r>
      <w:r w:rsidRPr="000B717B">
        <w:rPr>
          <w:rFonts w:asciiTheme="majorBidi" w:hAnsiTheme="majorBidi" w:cstheme="majorBidi"/>
          <w:szCs w:val="24"/>
        </w:rPr>
        <w:t>.</w:t>
      </w:r>
      <w:proofErr w:type="gramEnd"/>
    </w:p>
    <w:p w14:paraId="74F6BB1E"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Javanian</w:t>
      </w:r>
      <w:proofErr w:type="spellEnd"/>
      <w:r w:rsidRPr="000B717B">
        <w:rPr>
          <w:rFonts w:asciiTheme="majorBidi" w:hAnsiTheme="majorBidi" w:cstheme="majorBidi"/>
          <w:color w:val="222222"/>
          <w:szCs w:val="24"/>
          <w:shd w:val="clear" w:color="auto" w:fill="FFFFFF"/>
        </w:rPr>
        <w:t xml:space="preserve">, M., </w:t>
      </w:r>
      <w:proofErr w:type="spellStart"/>
      <w:r w:rsidRPr="000B717B">
        <w:rPr>
          <w:rFonts w:asciiTheme="majorBidi" w:hAnsiTheme="majorBidi" w:cstheme="majorBidi"/>
          <w:color w:val="222222"/>
          <w:szCs w:val="24"/>
          <w:shd w:val="clear" w:color="auto" w:fill="FFFFFF"/>
        </w:rPr>
        <w:t>Barary</w:t>
      </w:r>
      <w:proofErr w:type="spellEnd"/>
      <w:r w:rsidRPr="000B717B">
        <w:rPr>
          <w:rFonts w:asciiTheme="majorBidi" w:hAnsiTheme="majorBidi" w:cstheme="majorBidi"/>
          <w:color w:val="222222"/>
          <w:szCs w:val="24"/>
          <w:shd w:val="clear" w:color="auto" w:fill="FFFFFF"/>
        </w:rPr>
        <w:t xml:space="preserve">, M., </w:t>
      </w:r>
      <w:proofErr w:type="spellStart"/>
      <w:r w:rsidRPr="000B717B">
        <w:rPr>
          <w:rFonts w:asciiTheme="majorBidi" w:hAnsiTheme="majorBidi" w:cstheme="majorBidi"/>
          <w:color w:val="222222"/>
          <w:szCs w:val="24"/>
          <w:shd w:val="clear" w:color="auto" w:fill="FFFFFF"/>
        </w:rPr>
        <w:t>Ghebrehewet</w:t>
      </w:r>
      <w:proofErr w:type="spellEnd"/>
      <w:r w:rsidRPr="000B717B">
        <w:rPr>
          <w:rFonts w:asciiTheme="majorBidi" w:hAnsiTheme="majorBidi" w:cstheme="majorBidi"/>
          <w:color w:val="222222"/>
          <w:szCs w:val="24"/>
          <w:shd w:val="clear" w:color="auto" w:fill="FFFFFF"/>
        </w:rPr>
        <w:t xml:space="preserve">, S., Koppolu, V., </w:t>
      </w:r>
      <w:proofErr w:type="spellStart"/>
      <w:r w:rsidRPr="000B717B">
        <w:rPr>
          <w:rFonts w:asciiTheme="majorBidi" w:hAnsiTheme="majorBidi" w:cstheme="majorBidi"/>
          <w:color w:val="222222"/>
          <w:szCs w:val="24"/>
          <w:shd w:val="clear" w:color="auto" w:fill="FFFFFF"/>
        </w:rPr>
        <w:t>Vasigala</w:t>
      </w:r>
      <w:proofErr w:type="spellEnd"/>
      <w:r w:rsidRPr="000B717B">
        <w:rPr>
          <w:rFonts w:asciiTheme="majorBidi" w:hAnsiTheme="majorBidi" w:cstheme="majorBidi"/>
          <w:color w:val="222222"/>
          <w:szCs w:val="24"/>
          <w:shd w:val="clear" w:color="auto" w:fill="FFFFFF"/>
        </w:rPr>
        <w:t>, V., &amp; Ebrahimpour, S. (2021). A brief review of influenza virus infection. </w:t>
      </w:r>
      <w:r w:rsidRPr="000B717B">
        <w:rPr>
          <w:rFonts w:asciiTheme="majorBidi" w:hAnsiTheme="majorBidi" w:cstheme="majorBidi"/>
          <w:i/>
          <w:iCs/>
          <w:color w:val="222222"/>
          <w:szCs w:val="24"/>
          <w:shd w:val="clear" w:color="auto" w:fill="FFFFFF"/>
        </w:rPr>
        <w:t>Journal of medical virology</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93</w:t>
      </w:r>
      <w:r w:rsidRPr="000B717B">
        <w:rPr>
          <w:rFonts w:asciiTheme="majorBidi" w:hAnsiTheme="majorBidi" w:cstheme="majorBidi"/>
          <w:color w:val="222222"/>
          <w:szCs w:val="24"/>
          <w:shd w:val="clear" w:color="auto" w:fill="FFFFFF"/>
        </w:rPr>
        <w:t>(8), 4638-4646.</w:t>
      </w:r>
      <w:r w:rsidRPr="000B717B">
        <w:rPr>
          <w:rFonts w:asciiTheme="majorBidi" w:hAnsiTheme="majorBidi" w:cstheme="majorBidi"/>
          <w:color w:val="222222"/>
          <w:szCs w:val="24"/>
          <w:shd w:val="clear" w:color="auto" w:fill="FFFFFF"/>
          <w:rtl/>
        </w:rPr>
        <w:t>‏</w:t>
      </w:r>
    </w:p>
    <w:p w14:paraId="387556B9"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Sabikunnahar</w:t>
      </w:r>
      <w:proofErr w:type="spellEnd"/>
      <w:r w:rsidRPr="000B717B">
        <w:rPr>
          <w:rFonts w:asciiTheme="majorBidi" w:hAnsiTheme="majorBidi" w:cstheme="majorBidi"/>
          <w:color w:val="222222"/>
          <w:szCs w:val="24"/>
          <w:shd w:val="clear" w:color="auto" w:fill="FFFFFF"/>
        </w:rPr>
        <w:t xml:space="preserve">, B., </w:t>
      </w:r>
      <w:proofErr w:type="spellStart"/>
      <w:r w:rsidRPr="000B717B">
        <w:rPr>
          <w:rFonts w:asciiTheme="majorBidi" w:hAnsiTheme="majorBidi" w:cstheme="majorBidi"/>
          <w:color w:val="222222"/>
          <w:szCs w:val="24"/>
          <w:shd w:val="clear" w:color="auto" w:fill="FFFFFF"/>
        </w:rPr>
        <w:t>Lahue</w:t>
      </w:r>
      <w:proofErr w:type="spellEnd"/>
      <w:r w:rsidRPr="000B717B">
        <w:rPr>
          <w:rFonts w:asciiTheme="majorBidi" w:hAnsiTheme="majorBidi" w:cstheme="majorBidi"/>
          <w:color w:val="222222"/>
          <w:szCs w:val="24"/>
          <w:shd w:val="clear" w:color="auto" w:fill="FFFFFF"/>
        </w:rPr>
        <w:t xml:space="preserve">, K. G., Asarian, L., Fang, Q., McGill, M. M., Haynes, L., ... &amp; </w:t>
      </w:r>
      <w:proofErr w:type="spellStart"/>
      <w:r w:rsidRPr="000B717B">
        <w:rPr>
          <w:rFonts w:asciiTheme="majorBidi" w:hAnsiTheme="majorBidi" w:cstheme="majorBidi"/>
          <w:color w:val="222222"/>
          <w:szCs w:val="24"/>
          <w:shd w:val="clear" w:color="auto" w:fill="FFFFFF"/>
        </w:rPr>
        <w:t>Krementsov</w:t>
      </w:r>
      <w:proofErr w:type="spellEnd"/>
      <w:r w:rsidRPr="000B717B">
        <w:rPr>
          <w:rFonts w:asciiTheme="majorBidi" w:hAnsiTheme="majorBidi" w:cstheme="majorBidi"/>
          <w:color w:val="222222"/>
          <w:szCs w:val="24"/>
          <w:shd w:val="clear" w:color="auto" w:fill="FFFFFF"/>
        </w:rPr>
        <w:t>, D. N. (2022). Sex differences in susceptibility to influenza A virus infection depend on host genotype. </w:t>
      </w:r>
      <w:proofErr w:type="spellStart"/>
      <w:r w:rsidRPr="000B717B">
        <w:rPr>
          <w:rFonts w:asciiTheme="majorBidi" w:hAnsiTheme="majorBidi" w:cstheme="majorBidi"/>
          <w:i/>
          <w:iCs/>
          <w:color w:val="222222"/>
          <w:szCs w:val="24"/>
          <w:shd w:val="clear" w:color="auto" w:fill="FFFFFF"/>
        </w:rPr>
        <w:t>Plos</w:t>
      </w:r>
      <w:proofErr w:type="spellEnd"/>
      <w:r w:rsidRPr="000B717B">
        <w:rPr>
          <w:rFonts w:asciiTheme="majorBidi" w:hAnsiTheme="majorBidi" w:cstheme="majorBidi"/>
          <w:i/>
          <w:iCs/>
          <w:color w:val="222222"/>
          <w:szCs w:val="24"/>
          <w:shd w:val="clear" w:color="auto" w:fill="FFFFFF"/>
        </w:rPr>
        <w:t xml:space="preserve"> one</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17</w:t>
      </w:r>
      <w:r w:rsidRPr="000B717B">
        <w:rPr>
          <w:rFonts w:asciiTheme="majorBidi" w:hAnsiTheme="majorBidi" w:cstheme="majorBidi"/>
          <w:color w:val="222222"/>
          <w:szCs w:val="24"/>
          <w:shd w:val="clear" w:color="auto" w:fill="FFFFFF"/>
        </w:rPr>
        <w:t>(9), e0273050.</w:t>
      </w:r>
      <w:r w:rsidRPr="000B717B">
        <w:rPr>
          <w:rFonts w:asciiTheme="majorBidi" w:hAnsiTheme="majorBidi" w:cstheme="majorBidi"/>
          <w:color w:val="222222"/>
          <w:szCs w:val="24"/>
          <w:shd w:val="clear" w:color="auto" w:fill="FFFFFF"/>
          <w:rtl/>
        </w:rPr>
        <w:t>‏</w:t>
      </w:r>
    </w:p>
    <w:p w14:paraId="088CD58C"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Kakizaki</w:t>
      </w:r>
      <w:proofErr w:type="spellEnd"/>
      <w:r w:rsidRPr="000B717B">
        <w:rPr>
          <w:rFonts w:asciiTheme="majorBidi" w:hAnsiTheme="majorBidi" w:cstheme="majorBidi"/>
          <w:color w:val="222222"/>
          <w:szCs w:val="24"/>
          <w:shd w:val="clear" w:color="auto" w:fill="FFFFFF"/>
        </w:rPr>
        <w:t>, R., Tojo, R., Bunya, N., Mizuno, H., Uemura, S., &amp; Narimatsu, E. (2022). A 48-year-old previously healthy man presenting with acute respiratory distress syndrome (ARDS), negative tests for SARS-CoV-2, and positive serology for parainfluenza virus type 3 (PIV-3). </w:t>
      </w:r>
      <w:r w:rsidRPr="000B717B">
        <w:rPr>
          <w:rFonts w:asciiTheme="majorBidi" w:hAnsiTheme="majorBidi" w:cstheme="majorBidi"/>
          <w:i/>
          <w:iCs/>
          <w:color w:val="222222"/>
          <w:szCs w:val="24"/>
          <w:shd w:val="clear" w:color="auto" w:fill="FFFFFF"/>
        </w:rPr>
        <w:t>The American Journal of Case Reports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23</w:t>
      </w:r>
      <w:r w:rsidRPr="000B717B">
        <w:rPr>
          <w:rFonts w:asciiTheme="majorBidi" w:hAnsiTheme="majorBidi" w:cstheme="majorBidi"/>
          <w:color w:val="222222"/>
          <w:szCs w:val="24"/>
          <w:shd w:val="clear" w:color="auto" w:fill="FFFFFF"/>
        </w:rPr>
        <w:t>, e934362-1.</w:t>
      </w:r>
      <w:r w:rsidRPr="000B717B">
        <w:rPr>
          <w:rFonts w:asciiTheme="majorBidi" w:hAnsiTheme="majorBidi" w:cstheme="majorBidi"/>
          <w:color w:val="222222"/>
          <w:szCs w:val="24"/>
          <w:shd w:val="clear" w:color="auto" w:fill="FFFFFF"/>
          <w:rtl/>
        </w:rPr>
        <w:t>‏</w:t>
      </w:r>
    </w:p>
    <w:p w14:paraId="1DE90346"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Bhasin, A., Nguyen, D. C., Briggs, B. J., &amp; Nam, H. H. (2024). The burden of RSV, hMPV, and PIV amongst hospitalized adults in the United States from 2016 to 2019. </w:t>
      </w:r>
      <w:r w:rsidRPr="000B717B">
        <w:rPr>
          <w:rFonts w:asciiTheme="majorBidi" w:hAnsiTheme="majorBidi" w:cstheme="majorBidi"/>
          <w:i/>
          <w:iCs/>
          <w:color w:val="222222"/>
          <w:szCs w:val="24"/>
          <w:shd w:val="clear" w:color="auto" w:fill="FFFFFF"/>
        </w:rPr>
        <w:t>Journal of Hospital Medicine</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19</w:t>
      </w:r>
      <w:r w:rsidRPr="000B717B">
        <w:rPr>
          <w:rFonts w:asciiTheme="majorBidi" w:hAnsiTheme="majorBidi" w:cstheme="majorBidi"/>
          <w:color w:val="222222"/>
          <w:szCs w:val="24"/>
          <w:shd w:val="clear" w:color="auto" w:fill="FFFFFF"/>
        </w:rPr>
        <w:t>(7), 581-588.</w:t>
      </w:r>
      <w:r w:rsidRPr="000B717B">
        <w:rPr>
          <w:rFonts w:asciiTheme="majorBidi" w:hAnsiTheme="majorBidi" w:cstheme="majorBidi"/>
          <w:color w:val="222222"/>
          <w:szCs w:val="24"/>
          <w:shd w:val="clear" w:color="auto" w:fill="FFFFFF"/>
          <w:rtl/>
        </w:rPr>
        <w:t>‏</w:t>
      </w:r>
    </w:p>
    <w:p w14:paraId="0F2F5CBD"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Vandini</w:t>
      </w:r>
      <w:proofErr w:type="spellEnd"/>
      <w:r w:rsidRPr="000B717B">
        <w:rPr>
          <w:rFonts w:asciiTheme="majorBidi" w:hAnsiTheme="majorBidi" w:cstheme="majorBidi"/>
          <w:color w:val="222222"/>
          <w:szCs w:val="24"/>
          <w:shd w:val="clear" w:color="auto" w:fill="FFFFFF"/>
        </w:rPr>
        <w:t>, S., Biagi, C., Fischer, M., &amp; Lanari, M. (2019). Impact of rhinovirus infections in children. </w:t>
      </w:r>
      <w:r w:rsidRPr="000B717B">
        <w:rPr>
          <w:rFonts w:asciiTheme="majorBidi" w:hAnsiTheme="majorBidi" w:cstheme="majorBidi"/>
          <w:i/>
          <w:iCs/>
          <w:color w:val="222222"/>
          <w:szCs w:val="24"/>
          <w:shd w:val="clear" w:color="auto" w:fill="FFFFFF"/>
        </w:rPr>
        <w:t>Viruses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11</w:t>
      </w:r>
      <w:r w:rsidRPr="000B717B">
        <w:rPr>
          <w:rFonts w:asciiTheme="majorBidi" w:hAnsiTheme="majorBidi" w:cstheme="majorBidi"/>
          <w:color w:val="222222"/>
          <w:szCs w:val="24"/>
          <w:shd w:val="clear" w:color="auto" w:fill="FFFFFF"/>
        </w:rPr>
        <w:t>(6), 521.</w:t>
      </w:r>
      <w:r w:rsidRPr="000B717B">
        <w:rPr>
          <w:rFonts w:asciiTheme="majorBidi" w:hAnsiTheme="majorBidi" w:cstheme="majorBidi"/>
          <w:color w:val="222222"/>
          <w:szCs w:val="24"/>
          <w:shd w:val="clear" w:color="auto" w:fill="FFFFFF"/>
          <w:rtl/>
        </w:rPr>
        <w:t>‏</w:t>
      </w:r>
    </w:p>
    <w:p w14:paraId="27057D01"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 xml:space="preserve">Boon, H., Meinders, A. J., van Hannen, E. J., </w:t>
      </w:r>
      <w:proofErr w:type="spellStart"/>
      <w:r w:rsidRPr="000B717B">
        <w:rPr>
          <w:rFonts w:asciiTheme="majorBidi" w:hAnsiTheme="majorBidi" w:cstheme="majorBidi"/>
          <w:color w:val="222222"/>
          <w:szCs w:val="24"/>
          <w:shd w:val="clear" w:color="auto" w:fill="FFFFFF"/>
        </w:rPr>
        <w:t>Tersmette</w:t>
      </w:r>
      <w:proofErr w:type="spellEnd"/>
      <w:r w:rsidRPr="000B717B">
        <w:rPr>
          <w:rFonts w:asciiTheme="majorBidi" w:hAnsiTheme="majorBidi" w:cstheme="majorBidi"/>
          <w:color w:val="222222"/>
          <w:szCs w:val="24"/>
          <w:shd w:val="clear" w:color="auto" w:fill="FFFFFF"/>
        </w:rPr>
        <w:t xml:space="preserve">, M., &amp; </w:t>
      </w:r>
      <w:proofErr w:type="spellStart"/>
      <w:r w:rsidRPr="000B717B">
        <w:rPr>
          <w:rFonts w:asciiTheme="majorBidi" w:hAnsiTheme="majorBidi" w:cstheme="majorBidi"/>
          <w:color w:val="222222"/>
          <w:szCs w:val="24"/>
          <w:shd w:val="clear" w:color="auto" w:fill="FFFFFF"/>
        </w:rPr>
        <w:t>Schaftenaar</w:t>
      </w:r>
      <w:proofErr w:type="spellEnd"/>
      <w:r w:rsidRPr="000B717B">
        <w:rPr>
          <w:rFonts w:asciiTheme="majorBidi" w:hAnsiTheme="majorBidi" w:cstheme="majorBidi"/>
          <w:color w:val="222222"/>
          <w:szCs w:val="24"/>
          <w:shd w:val="clear" w:color="auto" w:fill="FFFFFF"/>
        </w:rPr>
        <w:t xml:space="preserve">, E. (2024). Comparative analysis of mortality in </w:t>
      </w:r>
      <w:r w:rsidRPr="000B717B">
        <w:rPr>
          <w:rFonts w:asciiTheme="majorBidi" w:hAnsiTheme="majorBidi" w:cstheme="majorBidi"/>
          <w:color w:val="222222"/>
          <w:szCs w:val="24"/>
          <w:shd w:val="clear" w:color="auto" w:fill="FFFFFF"/>
        </w:rPr>
        <w:t>patients admitted with an infection with influenza A/B virus, respiratory syncytial virus, rhinovirus, metapneumovirus or SARS‐CoV‐2. </w:t>
      </w:r>
      <w:r w:rsidRPr="000B717B">
        <w:rPr>
          <w:rFonts w:asciiTheme="majorBidi" w:hAnsiTheme="majorBidi" w:cstheme="majorBidi"/>
          <w:i/>
          <w:iCs/>
          <w:color w:val="222222"/>
          <w:szCs w:val="24"/>
          <w:shd w:val="clear" w:color="auto" w:fill="FFFFFF"/>
        </w:rPr>
        <w:t>Influenza and Other Respiratory Viruses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18</w:t>
      </w:r>
      <w:r w:rsidRPr="000B717B">
        <w:rPr>
          <w:rFonts w:asciiTheme="majorBidi" w:hAnsiTheme="majorBidi" w:cstheme="majorBidi"/>
          <w:color w:val="222222"/>
          <w:szCs w:val="24"/>
          <w:shd w:val="clear" w:color="auto" w:fill="FFFFFF"/>
        </w:rPr>
        <w:t>(1), e13237.</w:t>
      </w:r>
      <w:r w:rsidRPr="000B717B">
        <w:rPr>
          <w:rFonts w:asciiTheme="majorBidi" w:hAnsiTheme="majorBidi" w:cstheme="majorBidi"/>
          <w:color w:val="222222"/>
          <w:szCs w:val="24"/>
          <w:shd w:val="clear" w:color="auto" w:fill="FFFFFF"/>
          <w:rtl/>
        </w:rPr>
        <w:t>‏</w:t>
      </w:r>
    </w:p>
    <w:p w14:paraId="189947A3" w14:textId="77777777" w:rsidR="004A6D6C" w:rsidRPr="000B717B" w:rsidRDefault="004A6D6C" w:rsidP="000B717B">
      <w:pPr>
        <w:pStyle w:val="ListParagraph"/>
        <w:numPr>
          <w:ilvl w:val="0"/>
          <w:numId w:val="3"/>
        </w:numPr>
        <w:tabs>
          <w:tab w:val="left" w:pos="1700"/>
        </w:tabs>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Kikkert, M. (2020). Innate immune evasion by human respiratory RNA viruses. </w:t>
      </w:r>
      <w:r w:rsidRPr="000B717B">
        <w:rPr>
          <w:rFonts w:asciiTheme="majorBidi" w:hAnsiTheme="majorBidi" w:cstheme="majorBidi"/>
          <w:i/>
          <w:iCs/>
          <w:color w:val="222222"/>
          <w:szCs w:val="24"/>
          <w:shd w:val="clear" w:color="auto" w:fill="FFFFFF"/>
        </w:rPr>
        <w:t>Journal of innate immunity</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12</w:t>
      </w:r>
      <w:r w:rsidRPr="000B717B">
        <w:rPr>
          <w:rFonts w:asciiTheme="majorBidi" w:hAnsiTheme="majorBidi" w:cstheme="majorBidi"/>
          <w:color w:val="222222"/>
          <w:szCs w:val="24"/>
          <w:shd w:val="clear" w:color="auto" w:fill="FFFFFF"/>
        </w:rPr>
        <w:t>(1), 4-20.</w:t>
      </w:r>
      <w:r w:rsidRPr="000B717B">
        <w:rPr>
          <w:rFonts w:asciiTheme="majorBidi" w:hAnsiTheme="majorBidi" w:cstheme="majorBidi"/>
          <w:color w:val="222222"/>
          <w:szCs w:val="24"/>
          <w:shd w:val="clear" w:color="auto" w:fill="FFFFFF"/>
          <w:rtl/>
        </w:rPr>
        <w:t>‏</w:t>
      </w:r>
      <w:r w:rsidRPr="000B717B">
        <w:rPr>
          <w:rFonts w:asciiTheme="majorBidi" w:hAnsiTheme="majorBidi" w:cstheme="majorBidi"/>
          <w:szCs w:val="24"/>
        </w:rPr>
        <w:t xml:space="preserve"> </w:t>
      </w:r>
    </w:p>
    <w:p w14:paraId="4B5DFB80"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Ackerson, B., Tseng, H. F., Sy, L. S., Solano, Z., Slezak, J., Luo, Y., ... &amp; Shinde, V. (2019). Severe morbidity and mortality associated with respiratory syncytial virus versus influenza infection in hospitalized older adults. </w:t>
      </w:r>
      <w:r w:rsidRPr="000B717B">
        <w:rPr>
          <w:rFonts w:asciiTheme="majorBidi" w:hAnsiTheme="majorBidi" w:cstheme="majorBidi"/>
          <w:i/>
          <w:iCs/>
          <w:color w:val="222222"/>
          <w:szCs w:val="24"/>
          <w:shd w:val="clear" w:color="auto" w:fill="FFFFFF"/>
        </w:rPr>
        <w:t>Clinical Infectious Diseases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69</w:t>
      </w:r>
      <w:r w:rsidRPr="000B717B">
        <w:rPr>
          <w:rFonts w:asciiTheme="majorBidi" w:hAnsiTheme="majorBidi" w:cstheme="majorBidi"/>
          <w:color w:val="222222"/>
          <w:szCs w:val="24"/>
          <w:shd w:val="clear" w:color="auto" w:fill="FFFFFF"/>
        </w:rPr>
        <w:t>(2), 197-203.</w:t>
      </w:r>
      <w:r w:rsidRPr="000B717B">
        <w:rPr>
          <w:rFonts w:asciiTheme="majorBidi" w:hAnsiTheme="majorBidi" w:cstheme="majorBidi"/>
          <w:color w:val="222222"/>
          <w:szCs w:val="24"/>
          <w:shd w:val="clear" w:color="auto" w:fill="FFFFFF"/>
          <w:rtl/>
        </w:rPr>
        <w:t>‏</w:t>
      </w:r>
    </w:p>
    <w:p w14:paraId="6F863BAF"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Nikolich-</w:t>
      </w:r>
      <w:proofErr w:type="spellStart"/>
      <w:r w:rsidRPr="000B717B">
        <w:rPr>
          <w:rFonts w:asciiTheme="majorBidi" w:hAnsiTheme="majorBidi" w:cstheme="majorBidi"/>
          <w:color w:val="222222"/>
          <w:szCs w:val="24"/>
          <w:shd w:val="clear" w:color="auto" w:fill="FFFFFF"/>
        </w:rPr>
        <w:t>Zugich</w:t>
      </w:r>
      <w:proofErr w:type="spellEnd"/>
      <w:r w:rsidRPr="000B717B">
        <w:rPr>
          <w:rFonts w:asciiTheme="majorBidi" w:hAnsiTheme="majorBidi" w:cstheme="majorBidi"/>
          <w:color w:val="222222"/>
          <w:szCs w:val="24"/>
          <w:shd w:val="clear" w:color="auto" w:fill="FFFFFF"/>
        </w:rPr>
        <w:t>, J., Knox, K. S., Rios, C. T., Natt, B., Bhattacharya, D., &amp; Fain, M. J. (2020). SARS-CoV-2 and COVID-19 in older adults: what we may expect regarding pathogenesis, immune responses, and outcomes. </w:t>
      </w:r>
      <w:proofErr w:type="spellStart"/>
      <w:r w:rsidRPr="000B717B">
        <w:rPr>
          <w:rFonts w:asciiTheme="majorBidi" w:hAnsiTheme="majorBidi" w:cstheme="majorBidi"/>
          <w:i/>
          <w:iCs/>
          <w:color w:val="222222"/>
          <w:szCs w:val="24"/>
          <w:shd w:val="clear" w:color="auto" w:fill="FFFFFF"/>
        </w:rPr>
        <w:t>Geroscience</w:t>
      </w:r>
      <w:proofErr w:type="spellEnd"/>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42</w:t>
      </w:r>
      <w:r w:rsidRPr="000B717B">
        <w:rPr>
          <w:rFonts w:asciiTheme="majorBidi" w:hAnsiTheme="majorBidi" w:cstheme="majorBidi"/>
          <w:color w:val="222222"/>
          <w:szCs w:val="24"/>
          <w:shd w:val="clear" w:color="auto" w:fill="FFFFFF"/>
        </w:rPr>
        <w:t>, 505-514.</w:t>
      </w:r>
      <w:r w:rsidRPr="000B717B">
        <w:rPr>
          <w:rFonts w:asciiTheme="majorBidi" w:hAnsiTheme="majorBidi" w:cstheme="majorBidi"/>
          <w:color w:val="222222"/>
          <w:szCs w:val="24"/>
          <w:shd w:val="clear" w:color="auto" w:fill="FFFFFF"/>
          <w:rtl/>
        </w:rPr>
        <w:t>‏</w:t>
      </w:r>
    </w:p>
    <w:p w14:paraId="0BAC8EC8" w14:textId="77777777" w:rsidR="004A6D6C" w:rsidRPr="000B717B" w:rsidRDefault="004A6D6C" w:rsidP="000B717B">
      <w:pPr>
        <w:pStyle w:val="ListParagraph"/>
        <w:numPr>
          <w:ilvl w:val="0"/>
          <w:numId w:val="3"/>
        </w:numPr>
        <w:tabs>
          <w:tab w:val="left" w:pos="1700"/>
        </w:tabs>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Harding, A. T., &amp; Heaton, N. S. (2022). The impact of estrogens and their receptors on immunity and inflammation during infection. </w:t>
      </w:r>
      <w:r w:rsidRPr="000B717B">
        <w:rPr>
          <w:rFonts w:asciiTheme="majorBidi" w:hAnsiTheme="majorBidi" w:cstheme="majorBidi"/>
          <w:i/>
          <w:iCs/>
          <w:color w:val="222222"/>
          <w:szCs w:val="24"/>
          <w:shd w:val="clear" w:color="auto" w:fill="FFFFFF"/>
        </w:rPr>
        <w:t>Cancers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14</w:t>
      </w:r>
      <w:r w:rsidRPr="000B717B">
        <w:rPr>
          <w:rFonts w:asciiTheme="majorBidi" w:hAnsiTheme="majorBidi" w:cstheme="majorBidi"/>
          <w:color w:val="222222"/>
          <w:szCs w:val="24"/>
          <w:shd w:val="clear" w:color="auto" w:fill="FFFFFF"/>
        </w:rPr>
        <w:t>(4), 909.</w:t>
      </w:r>
      <w:r w:rsidRPr="000B717B">
        <w:rPr>
          <w:rFonts w:asciiTheme="majorBidi" w:hAnsiTheme="majorBidi" w:cstheme="majorBidi"/>
          <w:color w:val="222222"/>
          <w:szCs w:val="24"/>
          <w:shd w:val="clear" w:color="auto" w:fill="FFFFFF"/>
          <w:rtl/>
        </w:rPr>
        <w:t>‏</w:t>
      </w:r>
    </w:p>
    <w:p w14:paraId="75EE38D7"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Jarczak</w:t>
      </w:r>
      <w:proofErr w:type="spellEnd"/>
      <w:r w:rsidRPr="000B717B">
        <w:rPr>
          <w:rFonts w:asciiTheme="majorBidi" w:hAnsiTheme="majorBidi" w:cstheme="majorBidi"/>
          <w:color w:val="222222"/>
          <w:szCs w:val="24"/>
          <w:shd w:val="clear" w:color="auto" w:fill="FFFFFF"/>
        </w:rPr>
        <w:t xml:space="preserve">, D., &amp; </w:t>
      </w:r>
      <w:proofErr w:type="spellStart"/>
      <w:r w:rsidRPr="000B717B">
        <w:rPr>
          <w:rFonts w:asciiTheme="majorBidi" w:hAnsiTheme="majorBidi" w:cstheme="majorBidi"/>
          <w:color w:val="222222"/>
          <w:szCs w:val="24"/>
          <w:shd w:val="clear" w:color="auto" w:fill="FFFFFF"/>
        </w:rPr>
        <w:t>Nierhaus</w:t>
      </w:r>
      <w:proofErr w:type="spellEnd"/>
      <w:r w:rsidRPr="000B717B">
        <w:rPr>
          <w:rFonts w:asciiTheme="majorBidi" w:hAnsiTheme="majorBidi" w:cstheme="majorBidi"/>
          <w:color w:val="222222"/>
          <w:szCs w:val="24"/>
          <w:shd w:val="clear" w:color="auto" w:fill="FFFFFF"/>
        </w:rPr>
        <w:t>, A. (2022). Cytokine storm—definition, causes, and implications. </w:t>
      </w:r>
      <w:r w:rsidRPr="000B717B">
        <w:rPr>
          <w:rFonts w:asciiTheme="majorBidi" w:hAnsiTheme="majorBidi" w:cstheme="majorBidi"/>
          <w:i/>
          <w:iCs/>
          <w:color w:val="222222"/>
          <w:szCs w:val="24"/>
          <w:shd w:val="clear" w:color="auto" w:fill="FFFFFF"/>
        </w:rPr>
        <w:t>International journal of molecular sciences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23</w:t>
      </w:r>
      <w:r w:rsidRPr="000B717B">
        <w:rPr>
          <w:rFonts w:asciiTheme="majorBidi" w:hAnsiTheme="majorBidi" w:cstheme="majorBidi"/>
          <w:color w:val="222222"/>
          <w:szCs w:val="24"/>
          <w:shd w:val="clear" w:color="auto" w:fill="FFFFFF"/>
        </w:rPr>
        <w:t>(19), 11740.</w:t>
      </w:r>
      <w:r w:rsidRPr="000B717B">
        <w:rPr>
          <w:rFonts w:asciiTheme="majorBidi" w:hAnsiTheme="majorBidi" w:cstheme="majorBidi"/>
          <w:color w:val="222222"/>
          <w:szCs w:val="24"/>
          <w:shd w:val="clear" w:color="auto" w:fill="FFFFFF"/>
          <w:rtl/>
        </w:rPr>
        <w:t>‏</w:t>
      </w:r>
    </w:p>
    <w:p w14:paraId="4F07740F"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proofErr w:type="spellStart"/>
      <w:r w:rsidRPr="000B717B">
        <w:rPr>
          <w:rFonts w:asciiTheme="majorBidi" w:hAnsiTheme="majorBidi" w:cstheme="majorBidi"/>
          <w:color w:val="222222"/>
          <w:szCs w:val="24"/>
          <w:shd w:val="clear" w:color="auto" w:fill="FFFFFF"/>
        </w:rPr>
        <w:t>Elbadawy</w:t>
      </w:r>
      <w:proofErr w:type="spellEnd"/>
      <w:r w:rsidRPr="000B717B">
        <w:rPr>
          <w:rFonts w:asciiTheme="majorBidi" w:hAnsiTheme="majorBidi" w:cstheme="majorBidi"/>
          <w:color w:val="222222"/>
          <w:szCs w:val="24"/>
          <w:shd w:val="clear" w:color="auto" w:fill="FFFFFF"/>
        </w:rPr>
        <w:t xml:space="preserve">, H. M., Khattab, A., El‐Agamy, D. S., Eltahir, H. M., Alhaddad, A., </w:t>
      </w:r>
      <w:proofErr w:type="spellStart"/>
      <w:r w:rsidRPr="000B717B">
        <w:rPr>
          <w:rFonts w:asciiTheme="majorBidi" w:hAnsiTheme="majorBidi" w:cstheme="majorBidi"/>
          <w:color w:val="222222"/>
          <w:szCs w:val="24"/>
          <w:shd w:val="clear" w:color="auto" w:fill="FFFFFF"/>
        </w:rPr>
        <w:t>Aljohani</w:t>
      </w:r>
      <w:proofErr w:type="spellEnd"/>
      <w:r w:rsidRPr="000B717B">
        <w:rPr>
          <w:rFonts w:asciiTheme="majorBidi" w:hAnsiTheme="majorBidi" w:cstheme="majorBidi"/>
          <w:color w:val="222222"/>
          <w:szCs w:val="24"/>
          <w:shd w:val="clear" w:color="auto" w:fill="FFFFFF"/>
        </w:rPr>
        <w:t xml:space="preserve">, F. D., ... &amp; </w:t>
      </w:r>
      <w:proofErr w:type="spellStart"/>
      <w:r w:rsidRPr="000B717B">
        <w:rPr>
          <w:rFonts w:asciiTheme="majorBidi" w:hAnsiTheme="majorBidi" w:cstheme="majorBidi"/>
          <w:color w:val="222222"/>
          <w:szCs w:val="24"/>
          <w:shd w:val="clear" w:color="auto" w:fill="FFFFFF"/>
        </w:rPr>
        <w:t>Aldhafiri</w:t>
      </w:r>
      <w:proofErr w:type="spellEnd"/>
      <w:r w:rsidRPr="000B717B">
        <w:rPr>
          <w:rFonts w:asciiTheme="majorBidi" w:hAnsiTheme="majorBidi" w:cstheme="majorBidi"/>
          <w:color w:val="222222"/>
          <w:szCs w:val="24"/>
          <w:shd w:val="clear" w:color="auto" w:fill="FFFFFF"/>
        </w:rPr>
        <w:t>, A. (2023). IL‐6 at the center of cytokine storm: circulating inflammation mediators as biomarkers in hospitalized COVID‐19 patients. </w:t>
      </w:r>
      <w:r w:rsidRPr="000B717B">
        <w:rPr>
          <w:rFonts w:asciiTheme="majorBidi" w:hAnsiTheme="majorBidi" w:cstheme="majorBidi"/>
          <w:i/>
          <w:iCs/>
          <w:color w:val="222222"/>
          <w:szCs w:val="24"/>
          <w:shd w:val="clear" w:color="auto" w:fill="FFFFFF"/>
        </w:rPr>
        <w:t>Journal of Clinical Laboratory Analysis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37</w:t>
      </w:r>
      <w:r w:rsidRPr="000B717B">
        <w:rPr>
          <w:rFonts w:asciiTheme="majorBidi" w:hAnsiTheme="majorBidi" w:cstheme="majorBidi"/>
          <w:color w:val="222222"/>
          <w:szCs w:val="24"/>
          <w:shd w:val="clear" w:color="auto" w:fill="FFFFFF"/>
        </w:rPr>
        <w:t>(7), e24881.</w:t>
      </w:r>
      <w:r w:rsidRPr="000B717B">
        <w:rPr>
          <w:rFonts w:asciiTheme="majorBidi" w:hAnsiTheme="majorBidi" w:cstheme="majorBidi"/>
          <w:color w:val="222222"/>
          <w:szCs w:val="24"/>
          <w:shd w:val="clear" w:color="auto" w:fill="FFFFFF"/>
          <w:rtl/>
        </w:rPr>
        <w:t>‏</w:t>
      </w:r>
    </w:p>
    <w:p w14:paraId="6BFC4920"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 xml:space="preserve">Liu, Z., Liang, Q., Ren, Y., Guo, C., Ge, X., Wang, L., ... &amp; Han, X. (2023). </w:t>
      </w:r>
      <w:proofErr w:type="spellStart"/>
      <w:r w:rsidRPr="000B717B">
        <w:rPr>
          <w:rFonts w:asciiTheme="majorBidi" w:hAnsiTheme="majorBidi" w:cstheme="majorBidi"/>
          <w:color w:val="222222"/>
          <w:szCs w:val="24"/>
          <w:shd w:val="clear" w:color="auto" w:fill="FFFFFF"/>
        </w:rPr>
        <w:t>Immunosenescence</w:t>
      </w:r>
      <w:proofErr w:type="spellEnd"/>
      <w:r w:rsidRPr="000B717B">
        <w:rPr>
          <w:rFonts w:asciiTheme="majorBidi" w:hAnsiTheme="majorBidi" w:cstheme="majorBidi"/>
          <w:color w:val="222222"/>
          <w:szCs w:val="24"/>
          <w:shd w:val="clear" w:color="auto" w:fill="FFFFFF"/>
        </w:rPr>
        <w:t>: molecular mechanisms and diseases. </w:t>
      </w:r>
      <w:r w:rsidRPr="000B717B">
        <w:rPr>
          <w:rFonts w:asciiTheme="majorBidi" w:hAnsiTheme="majorBidi" w:cstheme="majorBidi"/>
          <w:i/>
          <w:iCs/>
          <w:color w:val="222222"/>
          <w:szCs w:val="24"/>
          <w:shd w:val="clear" w:color="auto" w:fill="FFFFFF"/>
        </w:rPr>
        <w:t>Signal transduction and targeted therapy</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8</w:t>
      </w:r>
      <w:r w:rsidRPr="000B717B">
        <w:rPr>
          <w:rFonts w:asciiTheme="majorBidi" w:hAnsiTheme="majorBidi" w:cstheme="majorBidi"/>
          <w:color w:val="222222"/>
          <w:szCs w:val="24"/>
          <w:shd w:val="clear" w:color="auto" w:fill="FFFFFF"/>
        </w:rPr>
        <w:t>(1), 200.</w:t>
      </w:r>
      <w:r w:rsidRPr="000B717B">
        <w:rPr>
          <w:rFonts w:asciiTheme="majorBidi" w:hAnsiTheme="majorBidi" w:cstheme="majorBidi"/>
          <w:color w:val="222222"/>
          <w:szCs w:val="24"/>
          <w:shd w:val="clear" w:color="auto" w:fill="FFFFFF"/>
          <w:rtl/>
        </w:rPr>
        <w:t>‏</w:t>
      </w:r>
    </w:p>
    <w:p w14:paraId="488E3D1F"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 xml:space="preserve">Teissier, T., Boulanger, E., &amp; Cox, L. S. (2022). Interconnections between </w:t>
      </w:r>
      <w:proofErr w:type="spellStart"/>
      <w:r w:rsidRPr="000B717B">
        <w:rPr>
          <w:rFonts w:asciiTheme="majorBidi" w:hAnsiTheme="majorBidi" w:cstheme="majorBidi"/>
          <w:color w:val="222222"/>
          <w:szCs w:val="24"/>
          <w:shd w:val="clear" w:color="auto" w:fill="FFFFFF"/>
        </w:rPr>
        <w:lastRenderedPageBreak/>
        <w:t>inflammageing</w:t>
      </w:r>
      <w:proofErr w:type="spellEnd"/>
      <w:r w:rsidRPr="000B717B">
        <w:rPr>
          <w:rFonts w:asciiTheme="majorBidi" w:hAnsiTheme="majorBidi" w:cstheme="majorBidi"/>
          <w:color w:val="222222"/>
          <w:szCs w:val="24"/>
          <w:shd w:val="clear" w:color="auto" w:fill="FFFFFF"/>
        </w:rPr>
        <w:t xml:space="preserve"> and </w:t>
      </w:r>
      <w:proofErr w:type="spellStart"/>
      <w:r w:rsidRPr="000B717B">
        <w:rPr>
          <w:rFonts w:asciiTheme="majorBidi" w:hAnsiTheme="majorBidi" w:cstheme="majorBidi"/>
          <w:color w:val="222222"/>
          <w:szCs w:val="24"/>
          <w:shd w:val="clear" w:color="auto" w:fill="FFFFFF"/>
        </w:rPr>
        <w:t>immunosenescence</w:t>
      </w:r>
      <w:proofErr w:type="spellEnd"/>
      <w:r w:rsidRPr="000B717B">
        <w:rPr>
          <w:rFonts w:asciiTheme="majorBidi" w:hAnsiTheme="majorBidi" w:cstheme="majorBidi"/>
          <w:color w:val="222222"/>
          <w:szCs w:val="24"/>
          <w:shd w:val="clear" w:color="auto" w:fill="FFFFFF"/>
        </w:rPr>
        <w:t xml:space="preserve"> during ageing. </w:t>
      </w:r>
      <w:r w:rsidRPr="000B717B">
        <w:rPr>
          <w:rFonts w:asciiTheme="majorBidi" w:hAnsiTheme="majorBidi" w:cstheme="majorBidi"/>
          <w:i/>
          <w:iCs/>
          <w:color w:val="222222"/>
          <w:szCs w:val="24"/>
          <w:shd w:val="clear" w:color="auto" w:fill="FFFFFF"/>
        </w:rPr>
        <w:t>Cells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11</w:t>
      </w:r>
      <w:r w:rsidRPr="000B717B">
        <w:rPr>
          <w:rFonts w:asciiTheme="majorBidi" w:hAnsiTheme="majorBidi" w:cstheme="majorBidi"/>
          <w:color w:val="222222"/>
          <w:szCs w:val="24"/>
          <w:shd w:val="clear" w:color="auto" w:fill="FFFFFF"/>
        </w:rPr>
        <w:t>(3), 359.</w:t>
      </w:r>
      <w:r w:rsidRPr="000B717B">
        <w:rPr>
          <w:rFonts w:asciiTheme="majorBidi" w:hAnsiTheme="majorBidi" w:cstheme="majorBidi"/>
          <w:color w:val="222222"/>
          <w:szCs w:val="24"/>
          <w:shd w:val="clear" w:color="auto" w:fill="FFFFFF"/>
          <w:rtl/>
        </w:rPr>
        <w:t>‏</w:t>
      </w:r>
    </w:p>
    <w:p w14:paraId="13CBA8B4"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Gupta, K. K., Khan, M. A., &amp; Singh, S. K. (2020). Constitutive inflammatory cytokine storm: a major threat to human health. </w:t>
      </w:r>
      <w:r w:rsidRPr="000B717B">
        <w:rPr>
          <w:rFonts w:asciiTheme="majorBidi" w:hAnsiTheme="majorBidi" w:cstheme="majorBidi"/>
          <w:i/>
          <w:iCs/>
          <w:color w:val="222222"/>
          <w:szCs w:val="24"/>
          <w:shd w:val="clear" w:color="auto" w:fill="FFFFFF"/>
        </w:rPr>
        <w:t>Journal of Interferon &amp; Cytokine Research</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40</w:t>
      </w:r>
      <w:r w:rsidRPr="000B717B">
        <w:rPr>
          <w:rFonts w:asciiTheme="majorBidi" w:hAnsiTheme="majorBidi" w:cstheme="majorBidi"/>
          <w:color w:val="222222"/>
          <w:szCs w:val="24"/>
          <w:shd w:val="clear" w:color="auto" w:fill="FFFFFF"/>
        </w:rPr>
        <w:t>(1), 19-23.</w:t>
      </w:r>
      <w:r w:rsidRPr="000B717B">
        <w:rPr>
          <w:rFonts w:asciiTheme="majorBidi" w:hAnsiTheme="majorBidi" w:cstheme="majorBidi"/>
          <w:color w:val="222222"/>
          <w:szCs w:val="24"/>
          <w:shd w:val="clear" w:color="auto" w:fill="FFFFFF"/>
          <w:rtl/>
        </w:rPr>
        <w:t>‏</w:t>
      </w:r>
    </w:p>
    <w:p w14:paraId="0713BE16"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Cron, R. Q., Goyal, G., &amp; Chatham, W. W. (2023). Cytokine storm syndrome. </w:t>
      </w:r>
      <w:r w:rsidRPr="000B717B">
        <w:rPr>
          <w:rFonts w:asciiTheme="majorBidi" w:hAnsiTheme="majorBidi" w:cstheme="majorBidi"/>
          <w:i/>
          <w:iCs/>
          <w:color w:val="222222"/>
          <w:szCs w:val="24"/>
          <w:shd w:val="clear" w:color="auto" w:fill="FFFFFF"/>
        </w:rPr>
        <w:t>Annual Review of Medicine</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74</w:t>
      </w:r>
      <w:r w:rsidRPr="000B717B">
        <w:rPr>
          <w:rFonts w:asciiTheme="majorBidi" w:hAnsiTheme="majorBidi" w:cstheme="majorBidi"/>
          <w:color w:val="222222"/>
          <w:szCs w:val="24"/>
          <w:shd w:val="clear" w:color="auto" w:fill="FFFFFF"/>
        </w:rPr>
        <w:t>(1), 321-337.</w:t>
      </w:r>
      <w:r w:rsidRPr="000B717B">
        <w:rPr>
          <w:rFonts w:asciiTheme="majorBidi" w:hAnsiTheme="majorBidi" w:cstheme="majorBidi"/>
          <w:color w:val="222222"/>
          <w:szCs w:val="24"/>
          <w:shd w:val="clear" w:color="auto" w:fill="FFFFFF"/>
          <w:rtl/>
        </w:rPr>
        <w:t>‏</w:t>
      </w:r>
    </w:p>
    <w:p w14:paraId="1B700A6A"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Gu, Y., Zuo, X., Zhang, S., Ouyang, Z., Jiang, S., Wang, F., &amp; Wang, G. (2021). The mechanism behind influenza virus cytokine storm. </w:t>
      </w:r>
      <w:r w:rsidRPr="000B717B">
        <w:rPr>
          <w:rFonts w:asciiTheme="majorBidi" w:hAnsiTheme="majorBidi" w:cstheme="majorBidi"/>
          <w:i/>
          <w:iCs/>
          <w:color w:val="222222"/>
          <w:szCs w:val="24"/>
          <w:shd w:val="clear" w:color="auto" w:fill="FFFFFF"/>
        </w:rPr>
        <w:t>Viruses</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13</w:t>
      </w:r>
      <w:r w:rsidRPr="000B717B">
        <w:rPr>
          <w:rFonts w:asciiTheme="majorBidi" w:hAnsiTheme="majorBidi" w:cstheme="majorBidi"/>
          <w:color w:val="222222"/>
          <w:szCs w:val="24"/>
          <w:shd w:val="clear" w:color="auto" w:fill="FFFFFF"/>
        </w:rPr>
        <w:t>(7), 1362.</w:t>
      </w:r>
      <w:r w:rsidRPr="000B717B">
        <w:rPr>
          <w:rFonts w:asciiTheme="majorBidi" w:hAnsiTheme="majorBidi" w:cstheme="majorBidi"/>
          <w:color w:val="222222"/>
          <w:szCs w:val="24"/>
          <w:shd w:val="clear" w:color="auto" w:fill="FFFFFF"/>
          <w:rtl/>
        </w:rPr>
        <w:t>‏</w:t>
      </w:r>
    </w:p>
    <w:p w14:paraId="344C55BB"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Kirsch-</w:t>
      </w:r>
      <w:proofErr w:type="spellStart"/>
      <w:r w:rsidRPr="000B717B">
        <w:rPr>
          <w:rFonts w:asciiTheme="majorBidi" w:hAnsiTheme="majorBidi" w:cstheme="majorBidi"/>
          <w:color w:val="222222"/>
          <w:szCs w:val="24"/>
          <w:shd w:val="clear" w:color="auto" w:fill="FFFFFF"/>
        </w:rPr>
        <w:t>Volders</w:t>
      </w:r>
      <w:proofErr w:type="spellEnd"/>
      <w:r w:rsidRPr="000B717B">
        <w:rPr>
          <w:rFonts w:asciiTheme="majorBidi" w:hAnsiTheme="majorBidi" w:cstheme="majorBidi"/>
          <w:color w:val="222222"/>
          <w:szCs w:val="24"/>
          <w:shd w:val="clear" w:color="auto" w:fill="FFFFFF"/>
        </w:rPr>
        <w:t xml:space="preserve">, M., &amp; Fenech, M. (2021). Inflammatory cytokine storms severity may </w:t>
      </w:r>
      <w:r w:rsidRPr="000B717B">
        <w:rPr>
          <w:rFonts w:asciiTheme="majorBidi" w:hAnsiTheme="majorBidi" w:cstheme="majorBidi"/>
          <w:color w:val="222222"/>
          <w:szCs w:val="24"/>
          <w:shd w:val="clear" w:color="auto" w:fill="FFFFFF"/>
        </w:rPr>
        <w:t>be fueled by interactions of micronuclei and RNA viruses such as COVID-19 virus SARS-CoV-2. A hypothesis. </w:t>
      </w:r>
      <w:r w:rsidRPr="000B717B">
        <w:rPr>
          <w:rFonts w:asciiTheme="majorBidi" w:hAnsiTheme="majorBidi" w:cstheme="majorBidi"/>
          <w:i/>
          <w:iCs/>
          <w:color w:val="222222"/>
          <w:szCs w:val="24"/>
          <w:shd w:val="clear" w:color="auto" w:fill="FFFFFF"/>
        </w:rPr>
        <w:t>Mutation Research/Reviews in Mutation Research</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788</w:t>
      </w:r>
      <w:r w:rsidRPr="000B717B">
        <w:rPr>
          <w:rFonts w:asciiTheme="majorBidi" w:hAnsiTheme="majorBidi" w:cstheme="majorBidi"/>
          <w:color w:val="222222"/>
          <w:szCs w:val="24"/>
          <w:shd w:val="clear" w:color="auto" w:fill="FFFFFF"/>
        </w:rPr>
        <w:t>, 108395.</w:t>
      </w:r>
      <w:r w:rsidRPr="000B717B">
        <w:rPr>
          <w:rFonts w:asciiTheme="majorBidi" w:hAnsiTheme="majorBidi" w:cstheme="majorBidi"/>
          <w:color w:val="222222"/>
          <w:szCs w:val="24"/>
          <w:shd w:val="clear" w:color="auto" w:fill="FFFFFF"/>
          <w:rtl/>
        </w:rPr>
        <w:t>‏</w:t>
      </w:r>
    </w:p>
    <w:p w14:paraId="6F81BCE0" w14:textId="77777777" w:rsidR="004A6D6C" w:rsidRPr="000B717B" w:rsidRDefault="004A6D6C" w:rsidP="000B717B">
      <w:pPr>
        <w:pStyle w:val="ListParagraph"/>
        <w:numPr>
          <w:ilvl w:val="0"/>
          <w:numId w:val="3"/>
        </w:numPr>
        <w:tabs>
          <w:tab w:val="left" w:pos="1700"/>
        </w:tabs>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Spiering, A. E., &amp; de Vries, T. J. (2021). Why females do better: the X chromosomal TLR7 gene-dose effect in COVID-19. </w:t>
      </w:r>
      <w:r w:rsidRPr="000B717B">
        <w:rPr>
          <w:rFonts w:asciiTheme="majorBidi" w:hAnsiTheme="majorBidi" w:cstheme="majorBidi"/>
          <w:i/>
          <w:iCs/>
          <w:color w:val="222222"/>
          <w:szCs w:val="24"/>
          <w:shd w:val="clear" w:color="auto" w:fill="FFFFFF"/>
        </w:rPr>
        <w:t>Frontiers in Immunology</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12</w:t>
      </w:r>
      <w:r w:rsidRPr="000B717B">
        <w:rPr>
          <w:rFonts w:asciiTheme="majorBidi" w:hAnsiTheme="majorBidi" w:cstheme="majorBidi"/>
          <w:color w:val="222222"/>
          <w:szCs w:val="24"/>
          <w:shd w:val="clear" w:color="auto" w:fill="FFFFFF"/>
        </w:rPr>
        <w:t>, 756262.</w:t>
      </w:r>
      <w:r w:rsidRPr="000B717B">
        <w:rPr>
          <w:rFonts w:asciiTheme="majorBidi" w:hAnsiTheme="majorBidi" w:cstheme="majorBidi"/>
          <w:color w:val="222222"/>
          <w:szCs w:val="24"/>
          <w:shd w:val="clear" w:color="auto" w:fill="FFFFFF"/>
          <w:rtl/>
        </w:rPr>
        <w:t>‏</w:t>
      </w:r>
    </w:p>
    <w:p w14:paraId="5F37C453" w14:textId="77777777" w:rsidR="004A6D6C" w:rsidRPr="000B717B" w:rsidRDefault="004A6D6C" w:rsidP="000B717B">
      <w:pPr>
        <w:pStyle w:val="ListParagraph"/>
        <w:numPr>
          <w:ilvl w:val="0"/>
          <w:numId w:val="3"/>
        </w:numPr>
        <w:spacing w:line="276" w:lineRule="auto"/>
        <w:rPr>
          <w:rFonts w:asciiTheme="majorBidi" w:hAnsiTheme="majorBidi" w:cstheme="majorBidi"/>
          <w:szCs w:val="24"/>
        </w:rPr>
      </w:pPr>
      <w:r w:rsidRPr="000B717B">
        <w:rPr>
          <w:rFonts w:asciiTheme="majorBidi" w:hAnsiTheme="majorBidi" w:cstheme="majorBidi"/>
          <w:color w:val="222222"/>
          <w:szCs w:val="24"/>
          <w:shd w:val="clear" w:color="auto" w:fill="FFFFFF"/>
        </w:rPr>
        <w:t xml:space="preserve">Keshavarz, M., Namdari, H., Farahmand, M., </w:t>
      </w:r>
      <w:proofErr w:type="spellStart"/>
      <w:r w:rsidRPr="000B717B">
        <w:rPr>
          <w:rFonts w:asciiTheme="majorBidi" w:hAnsiTheme="majorBidi" w:cstheme="majorBidi"/>
          <w:color w:val="222222"/>
          <w:szCs w:val="24"/>
          <w:shd w:val="clear" w:color="auto" w:fill="FFFFFF"/>
        </w:rPr>
        <w:t>Mehrbod</w:t>
      </w:r>
      <w:proofErr w:type="spellEnd"/>
      <w:r w:rsidRPr="000B717B">
        <w:rPr>
          <w:rFonts w:asciiTheme="majorBidi" w:hAnsiTheme="majorBidi" w:cstheme="majorBidi"/>
          <w:color w:val="222222"/>
          <w:szCs w:val="24"/>
          <w:shd w:val="clear" w:color="auto" w:fill="FFFFFF"/>
        </w:rPr>
        <w:t>, P., Mokhtari-Azad, T., &amp; Rezaei, F. (2019). Association of polymorphisms in inflammatory cytokines encoding genes with severe cases of influenza A/H1N1 and B in an Iranian population. </w:t>
      </w:r>
      <w:r w:rsidRPr="000B717B">
        <w:rPr>
          <w:rFonts w:asciiTheme="majorBidi" w:hAnsiTheme="majorBidi" w:cstheme="majorBidi"/>
          <w:i/>
          <w:iCs/>
          <w:color w:val="222222"/>
          <w:szCs w:val="24"/>
          <w:shd w:val="clear" w:color="auto" w:fill="FFFFFF"/>
        </w:rPr>
        <w:t>Virology journal</w:t>
      </w:r>
      <w:r w:rsidRPr="000B717B">
        <w:rPr>
          <w:rFonts w:asciiTheme="majorBidi" w:hAnsiTheme="majorBidi" w:cstheme="majorBidi"/>
          <w:color w:val="222222"/>
          <w:szCs w:val="24"/>
          <w:shd w:val="clear" w:color="auto" w:fill="FFFFFF"/>
        </w:rPr>
        <w:t>, </w:t>
      </w:r>
      <w:r w:rsidRPr="000B717B">
        <w:rPr>
          <w:rFonts w:asciiTheme="majorBidi" w:hAnsiTheme="majorBidi" w:cstheme="majorBidi"/>
          <w:i/>
          <w:iCs/>
          <w:color w:val="222222"/>
          <w:szCs w:val="24"/>
          <w:shd w:val="clear" w:color="auto" w:fill="FFFFFF"/>
        </w:rPr>
        <w:t>16</w:t>
      </w:r>
      <w:r w:rsidRPr="000B717B">
        <w:rPr>
          <w:rFonts w:asciiTheme="majorBidi" w:hAnsiTheme="majorBidi" w:cstheme="majorBidi"/>
          <w:color w:val="222222"/>
          <w:szCs w:val="24"/>
          <w:shd w:val="clear" w:color="auto" w:fill="FFFFFF"/>
        </w:rPr>
        <w:t>, 1-10.</w:t>
      </w:r>
      <w:r w:rsidRPr="000B717B">
        <w:rPr>
          <w:rFonts w:asciiTheme="majorBidi" w:hAnsiTheme="majorBidi" w:cstheme="majorBidi"/>
          <w:color w:val="222222"/>
          <w:szCs w:val="24"/>
          <w:shd w:val="clear" w:color="auto" w:fill="FFFFFF"/>
          <w:rtl/>
        </w:rPr>
        <w:t>‏</w:t>
      </w:r>
    </w:p>
    <w:p w14:paraId="48DCB6F8" w14:textId="77777777" w:rsidR="00C13343" w:rsidRDefault="00C13343" w:rsidP="001B2EB9">
      <w:pPr>
        <w:spacing w:after="120"/>
        <w:ind w:left="-144"/>
        <w:jc w:val="both"/>
        <w:rPr>
          <w:rFonts w:asciiTheme="majorBidi" w:eastAsia="Arial Unicode MS" w:hAnsiTheme="majorBidi" w:cstheme="majorBidi"/>
          <w:b/>
          <w:color w:val="000000"/>
          <w:sz w:val="24"/>
          <w:szCs w:val="24"/>
          <w:bdr w:val="none" w:sz="0" w:space="0" w:color="auto" w:frame="1"/>
          <w14:textOutline w14:w="12700" w14:cap="flat" w14:cmpd="sng" w14:algn="ctr">
            <w14:noFill/>
            <w14:prstDash w14:val="solid"/>
            <w14:miter w14:lim="100000"/>
          </w14:textOutline>
        </w:rPr>
        <w:sectPr w:rsidR="00C13343" w:rsidSect="001B2EB9">
          <w:type w:val="continuous"/>
          <w:pgSz w:w="11906" w:h="16838"/>
          <w:pgMar w:top="1134" w:right="1134" w:bottom="1134" w:left="1134" w:header="709" w:footer="709" w:gutter="0"/>
          <w:cols w:num="2" w:space="454"/>
          <w:titlePg/>
          <w:docGrid w:linePitch="360"/>
        </w:sectPr>
      </w:pPr>
    </w:p>
    <w:p w14:paraId="00D1A359" w14:textId="1FDEFEAB" w:rsidR="003E5390" w:rsidRPr="000035AE" w:rsidRDefault="003E5390" w:rsidP="001B2EB9">
      <w:pPr>
        <w:spacing w:after="120"/>
        <w:ind w:left="-144"/>
        <w:jc w:val="both"/>
        <w:rPr>
          <w:rFonts w:asciiTheme="majorBidi" w:eastAsia="Arial Unicode MS" w:hAnsiTheme="majorBidi" w:cstheme="majorBidi"/>
          <w:b/>
          <w:color w:val="000000"/>
          <w:sz w:val="24"/>
          <w:szCs w:val="24"/>
          <w:bdr w:val="none" w:sz="0" w:space="0" w:color="auto" w:frame="1"/>
          <w14:textOutline w14:w="12700" w14:cap="flat" w14:cmpd="sng" w14:algn="ctr">
            <w14:noFill/>
            <w14:prstDash w14:val="solid"/>
            <w14:miter w14:lim="100000"/>
          </w14:textOutline>
        </w:rPr>
      </w:pPr>
    </w:p>
    <w:sectPr w:rsidR="003E5390" w:rsidRPr="000035AE" w:rsidSect="001B2EB9">
      <w:type w:val="continuous"/>
      <w:pgSz w:w="11906" w:h="16838"/>
      <w:pgMar w:top="1134" w:right="1134" w:bottom="1134" w:left="1134" w:header="709" w:footer="709"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8F5F" w14:textId="77777777" w:rsidR="00C96C60" w:rsidRDefault="00C96C60" w:rsidP="003B736C">
      <w:pPr>
        <w:spacing w:after="0" w:line="240" w:lineRule="auto"/>
      </w:pPr>
      <w:r>
        <w:separator/>
      </w:r>
    </w:p>
  </w:endnote>
  <w:endnote w:type="continuationSeparator" w:id="0">
    <w:p w14:paraId="3EF4FC2A" w14:textId="77777777" w:rsidR="00C96C60" w:rsidRDefault="00C96C60"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7AEA3" w14:textId="77777777" w:rsidR="009E4EBF" w:rsidRPr="00C57017" w:rsidRDefault="009E4EBF" w:rsidP="00C57017">
    <w:pPr>
      <w:pStyle w:val="Header"/>
      <w:tabs>
        <w:tab w:val="clear" w:pos="9026"/>
        <w:tab w:val="right" w:pos="9638"/>
      </w:tabs>
      <w:rPr>
        <w:rFonts w:ascii="Times New Roman" w:hAnsi="Times New Roman" w:cs="Times New Roman"/>
        <w:sz w:val="20"/>
        <w:szCs w:val="20"/>
        <w:lang w:val="en-GB"/>
      </w:rPr>
    </w:pPr>
    <w:r w:rsidRPr="00714CCA">
      <w:rPr>
        <w:rFonts w:ascii="Times New Roman" w:hAnsi="Times New Roman" w:cs="Times New Roman"/>
        <w:b/>
        <w:bCs/>
        <w:color w:val="4F81BD"/>
        <w:sz w:val="20"/>
        <w:szCs w:val="20"/>
        <w:lang w:val="en-ID"/>
      </w:rPr>
      <w:t>MSJAR</w:t>
    </w:r>
    <w:r w:rsidRPr="00C57017">
      <w:rPr>
        <w:rFonts w:ascii="Times New Roman" w:hAnsi="Times New Roman" w:cs="Times New Roman"/>
        <w:sz w:val="20"/>
        <w:szCs w:val="20"/>
        <w:lang w:val="en-ID"/>
      </w:rPr>
      <w:t xml:space="preserve"> </w:t>
    </w:r>
    <w:r w:rsidRPr="00C57017">
      <w:rPr>
        <w:rFonts w:ascii="Times New Roman" w:hAnsi="Times New Roman" w:cs="Times New Roman"/>
        <w:sz w:val="20"/>
        <w:szCs w:val="20"/>
      </w:rPr>
      <w:t xml:space="preserve">Page </w:t>
    </w:r>
    <w:r w:rsidRPr="00C57017">
      <w:rPr>
        <w:rFonts w:ascii="Times New Roman" w:hAnsi="Times New Roman" w:cs="Times New Roman"/>
        <w:b/>
        <w:bCs/>
        <w:sz w:val="20"/>
        <w:szCs w:val="20"/>
      </w:rPr>
      <w:fldChar w:fldCharType="begin"/>
    </w:r>
    <w:r w:rsidRPr="00C57017">
      <w:rPr>
        <w:rFonts w:ascii="Times New Roman" w:hAnsi="Times New Roman" w:cs="Times New Roman"/>
        <w:b/>
        <w:bCs/>
        <w:sz w:val="20"/>
        <w:szCs w:val="20"/>
      </w:rPr>
      <w:instrText xml:space="preserve"> PAGE </w:instrText>
    </w:r>
    <w:r w:rsidRPr="00C57017">
      <w:rPr>
        <w:rFonts w:ascii="Times New Roman" w:hAnsi="Times New Roman" w:cs="Times New Roman"/>
        <w:b/>
        <w:bCs/>
        <w:sz w:val="20"/>
        <w:szCs w:val="20"/>
      </w:rPr>
      <w:fldChar w:fldCharType="separate"/>
    </w:r>
    <w:r w:rsidR="000B717B">
      <w:rPr>
        <w:rFonts w:ascii="Times New Roman" w:hAnsi="Times New Roman" w:cs="Times New Roman"/>
        <w:b/>
        <w:bCs/>
        <w:noProof/>
        <w:sz w:val="20"/>
        <w:szCs w:val="20"/>
      </w:rPr>
      <w:t>10</w:t>
    </w:r>
    <w:r w:rsidRPr="00C57017">
      <w:rPr>
        <w:rFonts w:ascii="Times New Roman" w:hAnsi="Times New Roman" w:cs="Times New Roman"/>
        <w:b/>
        <w:bCs/>
        <w:sz w:val="20"/>
        <w:szCs w:val="20"/>
      </w:rPr>
      <w:fldChar w:fldCharType="end"/>
    </w:r>
    <w:r w:rsidRPr="00C57017">
      <w:rPr>
        <w:rFonts w:ascii="Times New Roman" w:hAnsi="Times New Roman" w:cs="Times New Roman"/>
        <w:noProof/>
        <w:sz w:val="20"/>
        <w:szCs w:val="20"/>
      </w:rPr>
      <w:t xml:space="preserve"> </w:t>
    </w:r>
    <w:r>
      <w:rPr>
        <w:rFonts w:ascii="Times New Roman" w:hAnsi="Times New Roman" w:cs="Times New Roman"/>
        <w:noProof/>
        <w:sz w:val="20"/>
        <w:szCs w:val="20"/>
      </w:rPr>
      <w:tab/>
    </w:r>
    <w:r>
      <w:rPr>
        <w:rFonts w:ascii="Times New Roman" w:hAnsi="Times New Roman" w:cs="Times New Roman"/>
        <w:noProof/>
        <w:sz w:val="20"/>
        <w:szCs w:val="20"/>
      </w:rPr>
      <w:tab/>
    </w:r>
    <w:r w:rsidRPr="00C57017">
      <w:rPr>
        <w:rFonts w:ascii="Times New Roman" w:hAnsi="Times New Roman" w:cs="Times New Roman"/>
        <w:sz w:val="20"/>
        <w:szCs w:val="20"/>
        <w:lang w:val="en-GB"/>
      </w:rPr>
      <w:t>Copyright © The 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05500" w14:textId="77777777" w:rsidR="009E4EBF" w:rsidRPr="0063270B" w:rsidRDefault="009E4EBF" w:rsidP="0063270B">
    <w:pPr>
      <w:pStyle w:val="Header"/>
      <w:tabs>
        <w:tab w:val="clear" w:pos="9026"/>
        <w:tab w:val="right" w:pos="9638"/>
      </w:tabs>
      <w:rPr>
        <w:rFonts w:ascii="Times New Roman" w:hAnsi="Times New Roman" w:cs="Times New Roman"/>
        <w:sz w:val="20"/>
        <w:szCs w:val="20"/>
        <w:lang w:val="en-GB"/>
      </w:rPr>
    </w:pPr>
    <w:r w:rsidRPr="00C57017">
      <w:rPr>
        <w:rFonts w:ascii="Times New Roman" w:hAnsi="Times New Roman" w:cs="Times New Roman"/>
        <w:sz w:val="20"/>
        <w:szCs w:val="20"/>
        <w:lang w:val="en-GB"/>
      </w:rPr>
      <w:t>Copyright © The Author(s)</w:t>
    </w:r>
    <w:r>
      <w:rPr>
        <w:rFonts w:ascii="Times New Roman" w:hAnsi="Times New Roman" w:cs="Times New Roman"/>
        <w:sz w:val="20"/>
        <w:szCs w:val="20"/>
        <w:lang w:val="en-GB"/>
      </w:rPr>
      <w:tab/>
    </w:r>
    <w:r>
      <w:rPr>
        <w:rFonts w:ascii="Times New Roman" w:hAnsi="Times New Roman" w:cs="Times New Roman"/>
        <w:sz w:val="20"/>
        <w:szCs w:val="20"/>
        <w:lang w:val="en-GB"/>
      </w:rPr>
      <w:tab/>
    </w:r>
    <w:r w:rsidRPr="00714CCA">
      <w:rPr>
        <w:rFonts w:ascii="Cambria" w:hAnsi="Cambria"/>
        <w:b/>
        <w:bCs/>
        <w:color w:val="4F81BD"/>
        <w:sz w:val="20"/>
        <w:szCs w:val="20"/>
        <w:lang w:val="en-ID"/>
      </w:rPr>
      <w:t>MSJAR</w:t>
    </w:r>
    <w:r w:rsidRPr="00C57017">
      <w:rPr>
        <w:rFonts w:ascii="Cambria" w:hAnsi="Cambria"/>
        <w:sz w:val="20"/>
        <w:szCs w:val="20"/>
        <w:lang w:val="en-ID"/>
      </w:rPr>
      <w:t xml:space="preserve"> </w:t>
    </w:r>
    <w:r w:rsidRPr="00C57017">
      <w:rPr>
        <w:rFonts w:ascii="Cambria" w:hAnsi="Cambria"/>
        <w:sz w:val="20"/>
        <w:szCs w:val="20"/>
      </w:rPr>
      <w:t xml:space="preserve">Page </w:t>
    </w:r>
    <w:r w:rsidRPr="00C57017">
      <w:rPr>
        <w:rFonts w:ascii="Cambria" w:hAnsi="Cambria"/>
        <w:b/>
        <w:bCs/>
        <w:sz w:val="20"/>
        <w:szCs w:val="20"/>
      </w:rPr>
      <w:fldChar w:fldCharType="begin"/>
    </w:r>
    <w:r w:rsidRPr="00C57017">
      <w:rPr>
        <w:rFonts w:ascii="Cambria" w:hAnsi="Cambria"/>
        <w:b/>
        <w:bCs/>
        <w:sz w:val="20"/>
        <w:szCs w:val="20"/>
      </w:rPr>
      <w:instrText xml:space="preserve"> PAGE </w:instrText>
    </w:r>
    <w:r w:rsidRPr="00C57017">
      <w:rPr>
        <w:rFonts w:ascii="Cambria" w:hAnsi="Cambria"/>
        <w:b/>
        <w:bCs/>
        <w:sz w:val="20"/>
        <w:szCs w:val="20"/>
      </w:rPr>
      <w:fldChar w:fldCharType="separate"/>
    </w:r>
    <w:r>
      <w:rPr>
        <w:rFonts w:ascii="Cambria" w:hAnsi="Cambria"/>
        <w:b/>
        <w:bCs/>
        <w:noProof/>
        <w:sz w:val="20"/>
        <w:szCs w:val="20"/>
      </w:rPr>
      <w:t>5</w:t>
    </w:r>
    <w:r w:rsidRPr="00C57017">
      <w:rPr>
        <w:rFonts w:ascii="Cambria" w:hAnsi="Cambri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A415" w14:textId="77777777" w:rsidR="009E4EBF" w:rsidRPr="00C57017" w:rsidRDefault="009E4EBF" w:rsidP="00491296">
    <w:pPr>
      <w:spacing w:after="0" w:line="240" w:lineRule="auto"/>
      <w:rPr>
        <w:rFonts w:ascii="Times New Roman" w:hAnsi="Times New Roman" w:cs="Times New Roman"/>
        <w:b/>
        <w:bCs/>
        <w:color w:val="003300"/>
        <w:sz w:val="20"/>
        <w:szCs w:val="20"/>
        <w:lang w:val="en-ID"/>
      </w:rPr>
    </w:pPr>
  </w:p>
  <w:p w14:paraId="03758FF3" w14:textId="77777777" w:rsidR="009E4EBF" w:rsidRPr="00C57017" w:rsidRDefault="009E4EBF" w:rsidP="00491296">
    <w:pPr>
      <w:spacing w:after="0" w:line="240" w:lineRule="auto"/>
      <w:rPr>
        <w:rFonts w:ascii="Times New Roman" w:hAnsi="Times New Roman" w:cs="Times New Roman"/>
        <w:b/>
        <w:bCs/>
        <w:color w:val="003300"/>
        <w:sz w:val="20"/>
        <w:szCs w:val="20"/>
        <w:lang w:val="en-ID"/>
      </w:rPr>
    </w:pPr>
    <w:r w:rsidRPr="00C57017">
      <w:rPr>
        <w:rFonts w:ascii="Times New Roman" w:hAnsi="Times New Roman" w:cs="Times New Roman"/>
        <w:noProof/>
        <w:sz w:val="20"/>
        <w:szCs w:val="20"/>
        <w:lang w:val="en-US"/>
      </w:rPr>
      <w:drawing>
        <wp:anchor distT="0" distB="0" distL="114300" distR="114300" simplePos="0" relativeHeight="251670016" behindDoc="0" locked="0" layoutInCell="1" allowOverlap="1" wp14:anchorId="02BF17ED" wp14:editId="78058AB4">
          <wp:simplePos x="0" y="0"/>
          <wp:positionH relativeFrom="margin">
            <wp:align>right</wp:align>
          </wp:positionH>
          <wp:positionV relativeFrom="paragraph">
            <wp:posOffset>21212</wp:posOffset>
          </wp:positionV>
          <wp:extent cx="528051" cy="371475"/>
          <wp:effectExtent l="0" t="0" r="5715" b="0"/>
          <wp:wrapNone/>
          <wp:docPr id="4318066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51"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4CCA">
      <w:rPr>
        <w:rFonts w:ascii="Times New Roman" w:hAnsi="Times New Roman" w:cs="Times New Roman"/>
        <w:b/>
        <w:bCs/>
        <w:noProof/>
        <w:color w:val="4F81BD"/>
        <w:sz w:val="20"/>
        <w:szCs w:val="20"/>
        <w:lang w:val="en-US"/>
      </w:rPr>
      <mc:AlternateContent>
        <mc:Choice Requires="wps">
          <w:drawing>
            <wp:anchor distT="0" distB="0" distL="114300" distR="114300" simplePos="0" relativeHeight="251659776" behindDoc="0" locked="0" layoutInCell="1" allowOverlap="1" wp14:anchorId="07A710A9" wp14:editId="2F36D1C7">
              <wp:simplePos x="0" y="0"/>
              <wp:positionH relativeFrom="column">
                <wp:posOffset>1239634</wp:posOffset>
              </wp:positionH>
              <wp:positionV relativeFrom="paragraph">
                <wp:posOffset>7668</wp:posOffset>
              </wp:positionV>
              <wp:extent cx="3524250" cy="3889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88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4DFD1" w14:textId="6F26BA38" w:rsidR="009E4EBF" w:rsidRPr="004A6D6C" w:rsidRDefault="00000000" w:rsidP="004A6D6C">
                          <w:pPr>
                            <w:spacing w:after="0" w:line="240" w:lineRule="auto"/>
                            <w:rPr>
                              <w:rFonts w:ascii="Cambria" w:hAnsi="Cambria"/>
                              <w:sz w:val="20"/>
                              <w:szCs w:val="20"/>
                              <w:lang w:val="en-US"/>
                            </w:rPr>
                          </w:pPr>
                          <w:r>
                            <w:fldChar w:fldCharType="begin"/>
                          </w:r>
                          <w:r>
                            <w:instrText>HYPERLINK "https://doi.org/10.46966/msjar.v6i3.272"</w:instrText>
                          </w:r>
                          <w:r>
                            <w:fldChar w:fldCharType="separate"/>
                          </w:r>
                          <w:r w:rsidR="00F52B1A" w:rsidRPr="00BB2C69">
                            <w:rPr>
                              <w:rStyle w:val="Hyperlink"/>
                              <w:rFonts w:ascii="Cambria" w:hAnsi="Cambria"/>
                              <w:sz w:val="20"/>
                              <w:szCs w:val="20"/>
                            </w:rPr>
                            <w:t>https://doi.org/10.46966/</w:t>
                          </w:r>
                          <w:proofErr w:type="spellStart"/>
                          <w:r w:rsidR="00F52B1A" w:rsidRPr="00BB2C69">
                            <w:rPr>
                              <w:rStyle w:val="Hyperlink"/>
                              <w:rFonts w:ascii="Cambria" w:hAnsi="Cambria"/>
                              <w:sz w:val="20"/>
                              <w:szCs w:val="20"/>
                              <w:lang w:val="en-US"/>
                            </w:rPr>
                            <w:t>msjar</w:t>
                          </w:r>
                          <w:proofErr w:type="spellEnd"/>
                          <w:r w:rsidR="00F52B1A" w:rsidRPr="00BB2C69">
                            <w:rPr>
                              <w:rStyle w:val="Hyperlink"/>
                              <w:rFonts w:ascii="Cambria" w:hAnsi="Cambria"/>
                              <w:sz w:val="20"/>
                              <w:szCs w:val="20"/>
                            </w:rPr>
                            <w:t>.v</w:t>
                          </w:r>
                          <w:r w:rsidR="00F52B1A" w:rsidRPr="00BB2C69">
                            <w:rPr>
                              <w:rStyle w:val="Hyperlink"/>
                              <w:rFonts w:ascii="Cambria" w:hAnsi="Cambria"/>
                              <w:sz w:val="20"/>
                              <w:szCs w:val="20"/>
                              <w:lang w:val="en-ID"/>
                            </w:rPr>
                            <w:t>6</w:t>
                          </w:r>
                          <w:r w:rsidR="00F52B1A" w:rsidRPr="00BB2C69">
                            <w:rPr>
                              <w:rStyle w:val="Hyperlink"/>
                              <w:rFonts w:ascii="Cambria" w:hAnsi="Cambria"/>
                              <w:sz w:val="20"/>
                              <w:szCs w:val="20"/>
                            </w:rPr>
                            <w:t>i</w:t>
                          </w:r>
                          <w:r w:rsidR="00F52B1A" w:rsidRPr="00BB2C69">
                            <w:rPr>
                              <w:rStyle w:val="Hyperlink"/>
                              <w:rFonts w:ascii="Cambria" w:hAnsi="Cambria"/>
                              <w:sz w:val="20"/>
                              <w:szCs w:val="20"/>
                              <w:lang w:val="en-US"/>
                            </w:rPr>
                            <w:t>3</w:t>
                          </w:r>
                          <w:r w:rsidR="00F52B1A" w:rsidRPr="00BB2C69">
                            <w:rPr>
                              <w:rStyle w:val="Hyperlink"/>
                              <w:rFonts w:ascii="Cambria" w:hAnsi="Cambria"/>
                              <w:sz w:val="20"/>
                              <w:szCs w:val="20"/>
                            </w:rPr>
                            <w:t>.</w:t>
                          </w:r>
                          <w:r w:rsidR="00F52B1A" w:rsidRPr="00BB2C69">
                            <w:rPr>
                              <w:rStyle w:val="Hyperlink"/>
                              <w:rFonts w:ascii="Cambria" w:hAnsi="Cambria"/>
                              <w:sz w:val="20"/>
                              <w:szCs w:val="20"/>
                              <w:lang w:val="en-ID"/>
                            </w:rPr>
                            <w:t>272</w:t>
                          </w:r>
                          <w:r>
                            <w:rPr>
                              <w:rStyle w:val="Hyperlink"/>
                              <w:rFonts w:ascii="Cambria" w:hAnsi="Cambria"/>
                              <w:sz w:val="20"/>
                              <w:szCs w:val="20"/>
                              <w:lang w:val="en-ID"/>
                            </w:rPr>
                            <w:fldChar w:fldCharType="end"/>
                          </w:r>
                        </w:p>
                        <w:p w14:paraId="7B1B2984" w14:textId="77777777" w:rsidR="009E4EBF" w:rsidRDefault="009E4EBF" w:rsidP="00A86EE0">
                          <w:pPr>
                            <w:spacing w:after="0" w:line="240" w:lineRule="auto"/>
                          </w:pPr>
                          <w:r w:rsidRPr="00327FE7">
                            <w:rPr>
                              <w:rFonts w:ascii="Cambria" w:hAnsi="Cambria" w:cs="Helvetica"/>
                              <w:color w:val="2C3E50"/>
                              <w:sz w:val="14"/>
                              <w:szCs w:val="14"/>
                            </w:rPr>
                            <w:t>This work is licensed </w:t>
                          </w:r>
                          <w:hyperlink r:id="rId2" w:history="1">
                            <w:r w:rsidRPr="009E4EBF">
                              <w:rPr>
                                <w:rStyle w:val="Hyperlink"/>
                              </w:rPr>
                              <w:t>http://creativecommons.org/licenses/by/4.0/</w:t>
                            </w:r>
                          </w:hyperlink>
                          <w:r w:rsidRPr="00327FE7">
                            <w:rPr>
                              <w:rFonts w:ascii="Cambria" w:hAnsi="Cambria" w:cs="Helvetica"/>
                              <w:color w:val="2C3E50"/>
                              <w:sz w:val="14"/>
                              <w:szCs w:val="14"/>
                            </w:rPr>
                            <w:t xml:space="preserve">under </w:t>
                          </w:r>
                          <w:r w:rsidRPr="00714CCA">
                            <w:rPr>
                              <w:rFonts w:ascii="Cambria" w:hAnsi="Cambria" w:cs="Helvetica"/>
                              <w:color w:val="4F81BD"/>
                              <w:sz w:val="14"/>
                              <w:szCs w:val="14"/>
                            </w:rPr>
                            <w:t>a </w:t>
                          </w:r>
                          <w:hyperlink r:id="rId3" w:history="1">
                            <w:r w:rsidRPr="00714CCA">
                              <w:rPr>
                                <w:rStyle w:val="Hyperlink"/>
                                <w:rFonts w:ascii="Cambria" w:hAnsi="Cambria" w:cs="Helvetica"/>
                                <w:color w:val="4F81BD"/>
                                <w:sz w:val="14"/>
                                <w:szCs w:val="14"/>
                              </w:rPr>
                              <w:t>Creative Commons Attribution 4.0 International License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710A9" id="_x0000_t202" coordsize="21600,21600" o:spt="202" path="m,l,21600r21600,l21600,xe">
              <v:stroke joinstyle="miter"/>
              <v:path gradientshapeok="t" o:connecttype="rect"/>
            </v:shapetype>
            <v:shape id="Text Box 4" o:spid="_x0000_s1028" type="#_x0000_t202" style="position:absolute;margin-left:97.6pt;margin-top:.6pt;width:277.5pt;height:3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" filled="f" stroked="f">
              <v:textbox>
                <w:txbxContent>
                  <w:p w14:paraId="4854DFD1" w14:textId="6F26BA38" w:rsidR="009E4EBF" w:rsidRPr="004A6D6C" w:rsidRDefault="00000000" w:rsidP="004A6D6C">
                    <w:pPr>
                      <w:spacing w:after="0" w:line="240" w:lineRule="auto"/>
                      <w:rPr>
                        <w:rFonts w:ascii="Cambria" w:hAnsi="Cambria"/>
                        <w:sz w:val="20"/>
                        <w:szCs w:val="20"/>
                        <w:lang w:val="en-US"/>
                      </w:rPr>
                    </w:pPr>
                    <w:r>
                      <w:fldChar w:fldCharType="begin"/>
                    </w:r>
                    <w:r>
                      <w:instrText>HYPERLINK "https://doi.org/10.46966/msjar.v6i3.272"</w:instrText>
                    </w:r>
                    <w:r>
                      <w:fldChar w:fldCharType="separate"/>
                    </w:r>
                    <w:r w:rsidR="00F52B1A" w:rsidRPr="00BB2C69">
                      <w:rPr>
                        <w:rStyle w:val="Hyperlink"/>
                        <w:rFonts w:ascii="Cambria" w:hAnsi="Cambria"/>
                        <w:sz w:val="20"/>
                        <w:szCs w:val="20"/>
                      </w:rPr>
                      <w:t>https://doi.org/10.46966/</w:t>
                    </w:r>
                    <w:proofErr w:type="spellStart"/>
                    <w:r w:rsidR="00F52B1A" w:rsidRPr="00BB2C69">
                      <w:rPr>
                        <w:rStyle w:val="Hyperlink"/>
                        <w:rFonts w:ascii="Cambria" w:hAnsi="Cambria"/>
                        <w:sz w:val="20"/>
                        <w:szCs w:val="20"/>
                        <w:lang w:val="en-US"/>
                      </w:rPr>
                      <w:t>msjar</w:t>
                    </w:r>
                    <w:proofErr w:type="spellEnd"/>
                    <w:r w:rsidR="00F52B1A" w:rsidRPr="00BB2C69">
                      <w:rPr>
                        <w:rStyle w:val="Hyperlink"/>
                        <w:rFonts w:ascii="Cambria" w:hAnsi="Cambria"/>
                        <w:sz w:val="20"/>
                        <w:szCs w:val="20"/>
                      </w:rPr>
                      <w:t>.v</w:t>
                    </w:r>
                    <w:r w:rsidR="00F52B1A" w:rsidRPr="00BB2C69">
                      <w:rPr>
                        <w:rStyle w:val="Hyperlink"/>
                        <w:rFonts w:ascii="Cambria" w:hAnsi="Cambria"/>
                        <w:sz w:val="20"/>
                        <w:szCs w:val="20"/>
                        <w:lang w:val="en-ID"/>
                      </w:rPr>
                      <w:t>6</w:t>
                    </w:r>
                    <w:r w:rsidR="00F52B1A" w:rsidRPr="00BB2C69">
                      <w:rPr>
                        <w:rStyle w:val="Hyperlink"/>
                        <w:rFonts w:ascii="Cambria" w:hAnsi="Cambria"/>
                        <w:sz w:val="20"/>
                        <w:szCs w:val="20"/>
                      </w:rPr>
                      <w:t>i</w:t>
                    </w:r>
                    <w:r w:rsidR="00F52B1A" w:rsidRPr="00BB2C69">
                      <w:rPr>
                        <w:rStyle w:val="Hyperlink"/>
                        <w:rFonts w:ascii="Cambria" w:hAnsi="Cambria"/>
                        <w:sz w:val="20"/>
                        <w:szCs w:val="20"/>
                        <w:lang w:val="en-US"/>
                      </w:rPr>
                      <w:t>3</w:t>
                    </w:r>
                    <w:r w:rsidR="00F52B1A" w:rsidRPr="00BB2C69">
                      <w:rPr>
                        <w:rStyle w:val="Hyperlink"/>
                        <w:rFonts w:ascii="Cambria" w:hAnsi="Cambria"/>
                        <w:sz w:val="20"/>
                        <w:szCs w:val="20"/>
                      </w:rPr>
                      <w:t>.</w:t>
                    </w:r>
                    <w:r w:rsidR="00F52B1A" w:rsidRPr="00BB2C69">
                      <w:rPr>
                        <w:rStyle w:val="Hyperlink"/>
                        <w:rFonts w:ascii="Cambria" w:hAnsi="Cambria"/>
                        <w:sz w:val="20"/>
                        <w:szCs w:val="20"/>
                        <w:lang w:val="en-ID"/>
                      </w:rPr>
                      <w:t>272</w:t>
                    </w:r>
                    <w:r>
                      <w:rPr>
                        <w:rStyle w:val="Hyperlink"/>
                        <w:rFonts w:ascii="Cambria" w:hAnsi="Cambria"/>
                        <w:sz w:val="20"/>
                        <w:szCs w:val="20"/>
                        <w:lang w:val="en-ID"/>
                      </w:rPr>
                      <w:fldChar w:fldCharType="end"/>
                    </w:r>
                  </w:p>
                  <w:p w14:paraId="7B1B2984" w14:textId="77777777" w:rsidR="009E4EBF" w:rsidRDefault="009E4EBF" w:rsidP="00A86EE0">
                    <w:pPr>
                      <w:spacing w:after="0" w:line="240" w:lineRule="auto"/>
                    </w:pPr>
                    <w:r w:rsidRPr="00327FE7">
                      <w:rPr>
                        <w:rFonts w:ascii="Cambria" w:hAnsi="Cambria" w:cs="Helvetica"/>
                        <w:color w:val="2C3E50"/>
                        <w:sz w:val="14"/>
                        <w:szCs w:val="14"/>
                      </w:rPr>
                      <w:t>This work is licensed </w:t>
                    </w:r>
                    <w:hyperlink r:id="rId4" w:history="1">
                      <w:r w:rsidRPr="009E4EBF">
                        <w:rPr>
                          <w:rStyle w:val="Hyperlink"/>
                        </w:rPr>
                        <w:t>http://creativecommons.org/licenses/by/4.0/</w:t>
                      </w:r>
                    </w:hyperlink>
                    <w:r w:rsidRPr="00327FE7">
                      <w:rPr>
                        <w:rFonts w:ascii="Cambria" w:hAnsi="Cambria" w:cs="Helvetica"/>
                        <w:color w:val="2C3E50"/>
                        <w:sz w:val="14"/>
                        <w:szCs w:val="14"/>
                      </w:rPr>
                      <w:t xml:space="preserve">under </w:t>
                    </w:r>
                    <w:r w:rsidRPr="00714CCA">
                      <w:rPr>
                        <w:rFonts w:ascii="Cambria" w:hAnsi="Cambria" w:cs="Helvetica"/>
                        <w:color w:val="4F81BD"/>
                        <w:sz w:val="14"/>
                        <w:szCs w:val="14"/>
                      </w:rPr>
                      <w:t>a </w:t>
                    </w:r>
                    <w:hyperlink r:id="rId5" w:history="1">
                      <w:r w:rsidRPr="00714CCA">
                        <w:rPr>
                          <w:rStyle w:val="Hyperlink"/>
                          <w:rFonts w:ascii="Cambria" w:hAnsi="Cambria" w:cs="Helvetica"/>
                          <w:color w:val="4F81BD"/>
                          <w:sz w:val="14"/>
                          <w:szCs w:val="14"/>
                        </w:rPr>
                        <w:t>Creative Commons Attribution 4.0 International License</w:t>
                      </w:r>
                    </w:hyperlink>
                  </w:p>
                </w:txbxContent>
              </v:textbox>
            </v:shape>
          </w:pict>
        </mc:Fallback>
      </mc:AlternateContent>
    </w:r>
  </w:p>
  <w:p w14:paraId="50201A58" w14:textId="77777777" w:rsidR="009E4EBF" w:rsidRPr="00C57017" w:rsidRDefault="009E4EBF" w:rsidP="00491296">
    <w:pPr>
      <w:spacing w:after="0" w:line="240" w:lineRule="auto"/>
      <w:rPr>
        <w:rFonts w:ascii="Times New Roman" w:hAnsi="Times New Roman" w:cs="Times New Roman"/>
        <w:b/>
        <w:sz w:val="20"/>
        <w:szCs w:val="20"/>
        <w:lang w:val="en-ID"/>
      </w:rPr>
    </w:pPr>
    <w:r w:rsidRPr="00714CCA">
      <w:rPr>
        <w:rFonts w:ascii="Times New Roman" w:hAnsi="Times New Roman" w:cs="Times New Roman"/>
        <w:b/>
        <w:bCs/>
        <w:color w:val="4F81BD"/>
        <w:sz w:val="20"/>
        <w:szCs w:val="20"/>
        <w:lang w:val="en-ID"/>
      </w:rPr>
      <w:t>MSJAR</w:t>
    </w:r>
    <w:r w:rsidRPr="00C57017">
      <w:rPr>
        <w:rFonts w:ascii="Times New Roman" w:hAnsi="Times New Roman" w:cs="Times New Roman"/>
        <w:b/>
        <w:bCs/>
        <w:color w:val="003300"/>
        <w:sz w:val="20"/>
        <w:szCs w:val="20"/>
        <w:lang w:val="en-ID"/>
      </w:rPr>
      <w:t xml:space="preserve"> </w:t>
    </w:r>
    <w:r w:rsidRPr="00C57017">
      <w:rPr>
        <w:rFonts w:ascii="Times New Roman" w:hAnsi="Times New Roman" w:cs="Times New Roman"/>
        <w:sz w:val="20"/>
        <w:szCs w:val="20"/>
      </w:rPr>
      <w:t xml:space="preserve">Page </w:t>
    </w:r>
    <w:r w:rsidRPr="00C57017">
      <w:rPr>
        <w:rFonts w:ascii="Times New Roman" w:hAnsi="Times New Roman" w:cs="Times New Roman"/>
        <w:b/>
        <w:bCs/>
        <w:sz w:val="20"/>
        <w:szCs w:val="20"/>
      </w:rPr>
      <w:fldChar w:fldCharType="begin"/>
    </w:r>
    <w:r w:rsidRPr="00C57017">
      <w:rPr>
        <w:rFonts w:ascii="Times New Roman" w:hAnsi="Times New Roman" w:cs="Times New Roman"/>
        <w:b/>
        <w:bCs/>
        <w:sz w:val="20"/>
        <w:szCs w:val="20"/>
      </w:rPr>
      <w:instrText xml:space="preserve"> PAGE </w:instrText>
    </w:r>
    <w:r w:rsidRPr="00C57017">
      <w:rPr>
        <w:rFonts w:ascii="Times New Roman" w:hAnsi="Times New Roman" w:cs="Times New Roman"/>
        <w:b/>
        <w:bCs/>
        <w:sz w:val="20"/>
        <w:szCs w:val="20"/>
      </w:rPr>
      <w:fldChar w:fldCharType="separate"/>
    </w:r>
    <w:r w:rsidR="000B717B">
      <w:rPr>
        <w:rFonts w:ascii="Times New Roman" w:hAnsi="Times New Roman" w:cs="Times New Roman"/>
        <w:b/>
        <w:bCs/>
        <w:noProof/>
        <w:sz w:val="20"/>
        <w:szCs w:val="20"/>
      </w:rPr>
      <w:t>1</w:t>
    </w:r>
    <w:r w:rsidRPr="00C57017">
      <w:rPr>
        <w:rFonts w:ascii="Times New Roman" w:hAnsi="Times New Roman" w:cs="Times New Roman"/>
        <w:b/>
        <w:bCs/>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8181"/>
      <w:docPartObj>
        <w:docPartGallery w:val="Page Numbers (Bottom of Page)"/>
        <w:docPartUnique/>
      </w:docPartObj>
    </w:sdtPr>
    <w:sdtContent>
      <w:p w14:paraId="5394236A" w14:textId="636158FC" w:rsidR="009E4EBF" w:rsidRPr="00C66BCA" w:rsidRDefault="009E4EBF" w:rsidP="00C66BCA">
        <w:pPr>
          <w:pStyle w:val="Header"/>
          <w:tabs>
            <w:tab w:val="clear" w:pos="9026"/>
            <w:tab w:val="right" w:pos="9638"/>
          </w:tabs>
          <w:rPr>
            <w:rFonts w:ascii="Times New Roman" w:hAnsi="Times New Roman" w:cs="Times New Roman"/>
            <w:sz w:val="20"/>
            <w:szCs w:val="20"/>
            <w:lang w:val="en-GB"/>
          </w:rPr>
        </w:pPr>
        <w:r w:rsidRPr="00C57017">
          <w:rPr>
            <w:rFonts w:ascii="Times New Roman" w:hAnsi="Times New Roman" w:cs="Times New Roman"/>
            <w:b/>
            <w:bCs/>
            <w:color w:val="4472C4" w:themeColor="accent1"/>
            <w:sz w:val="20"/>
            <w:szCs w:val="20"/>
            <w:lang w:val="en-ID"/>
          </w:rPr>
          <w:t>MSJAR</w:t>
        </w:r>
        <w:r w:rsidRPr="00C57017">
          <w:rPr>
            <w:rFonts w:ascii="Times New Roman" w:hAnsi="Times New Roman" w:cs="Times New Roman"/>
            <w:sz w:val="20"/>
            <w:szCs w:val="20"/>
            <w:lang w:val="en-ID"/>
          </w:rPr>
          <w:t xml:space="preserve"> </w:t>
        </w:r>
        <w:r w:rsidRPr="00C57017">
          <w:rPr>
            <w:rFonts w:ascii="Times New Roman" w:hAnsi="Times New Roman" w:cs="Times New Roman"/>
            <w:sz w:val="20"/>
            <w:szCs w:val="20"/>
          </w:rPr>
          <w:t xml:space="preserve">Page </w:t>
        </w:r>
        <w:r w:rsidRPr="00C57017">
          <w:rPr>
            <w:rFonts w:ascii="Times New Roman" w:hAnsi="Times New Roman" w:cs="Times New Roman"/>
            <w:b/>
            <w:bCs/>
            <w:sz w:val="20"/>
            <w:szCs w:val="20"/>
          </w:rPr>
          <w:fldChar w:fldCharType="begin"/>
        </w:r>
        <w:r w:rsidRPr="00C57017">
          <w:rPr>
            <w:rFonts w:ascii="Times New Roman" w:hAnsi="Times New Roman" w:cs="Times New Roman"/>
            <w:b/>
            <w:bCs/>
            <w:sz w:val="20"/>
            <w:szCs w:val="20"/>
          </w:rPr>
          <w:instrText xml:space="preserve"> PAGE </w:instrText>
        </w:r>
        <w:r w:rsidRPr="00C57017">
          <w:rPr>
            <w:rFonts w:ascii="Times New Roman" w:hAnsi="Times New Roman" w:cs="Times New Roman"/>
            <w:b/>
            <w:bCs/>
            <w:sz w:val="20"/>
            <w:szCs w:val="20"/>
          </w:rPr>
          <w:fldChar w:fldCharType="separate"/>
        </w:r>
        <w:r w:rsidR="000B717B">
          <w:rPr>
            <w:rFonts w:ascii="Times New Roman" w:hAnsi="Times New Roman" w:cs="Times New Roman"/>
            <w:b/>
            <w:bCs/>
            <w:noProof/>
            <w:sz w:val="20"/>
            <w:szCs w:val="20"/>
          </w:rPr>
          <w:t>9</w:t>
        </w:r>
        <w:r w:rsidRPr="00C57017">
          <w:rPr>
            <w:rFonts w:ascii="Times New Roman" w:hAnsi="Times New Roman" w:cs="Times New Roman"/>
            <w:b/>
            <w:bCs/>
            <w:sz w:val="20"/>
            <w:szCs w:val="20"/>
          </w:rPr>
          <w:fldChar w:fldCharType="end"/>
        </w:r>
        <w:r w:rsidRPr="00C57017">
          <w:rPr>
            <w:rFonts w:ascii="Times New Roman" w:hAnsi="Times New Roman" w:cs="Times New Roman"/>
            <w:noProof/>
            <w:sz w:val="20"/>
            <w:szCs w:val="20"/>
          </w:rPr>
          <w:t xml:space="preserve"> </w:t>
        </w:r>
        <w:r>
          <w:rPr>
            <w:rFonts w:ascii="Times New Roman" w:hAnsi="Times New Roman" w:cs="Times New Roman"/>
            <w:noProof/>
            <w:sz w:val="20"/>
            <w:szCs w:val="20"/>
          </w:rPr>
          <w:tab/>
        </w:r>
        <w:r>
          <w:rPr>
            <w:rFonts w:ascii="Times New Roman" w:hAnsi="Times New Roman" w:cs="Times New Roman"/>
            <w:noProof/>
            <w:sz w:val="20"/>
            <w:szCs w:val="20"/>
          </w:rPr>
          <w:tab/>
        </w:r>
        <w:r w:rsidRPr="00C57017">
          <w:rPr>
            <w:rFonts w:ascii="Times New Roman" w:hAnsi="Times New Roman" w:cs="Times New Roman"/>
            <w:sz w:val="20"/>
            <w:szCs w:val="20"/>
            <w:lang w:val="en-GB"/>
          </w:rPr>
          <w:t>Copyright © The Author(s)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037B5" w14:textId="77777777" w:rsidR="00C96C60" w:rsidRDefault="00C96C60" w:rsidP="003B736C">
      <w:pPr>
        <w:spacing w:after="0" w:line="240" w:lineRule="auto"/>
      </w:pPr>
      <w:r>
        <w:separator/>
      </w:r>
    </w:p>
  </w:footnote>
  <w:footnote w:type="continuationSeparator" w:id="0">
    <w:p w14:paraId="7EE9D249" w14:textId="77777777" w:rsidR="00C96C60" w:rsidRDefault="00C96C60"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99C8" w14:textId="2D64EA50" w:rsidR="009E4EBF" w:rsidRPr="00C57017" w:rsidRDefault="009E4EBF" w:rsidP="0063270B">
    <w:pPr>
      <w:pStyle w:val="Header"/>
      <w:pBdr>
        <w:bottom w:val="single" w:sz="4" w:space="1" w:color="auto"/>
      </w:pBdr>
      <w:tabs>
        <w:tab w:val="clear" w:pos="9026"/>
        <w:tab w:val="right" w:pos="9638"/>
      </w:tabs>
      <w:rPr>
        <w:rFonts w:ascii="Times New Roman" w:hAnsi="Times New Roman" w:cs="Times New Roman"/>
        <w:sz w:val="20"/>
        <w:szCs w:val="20"/>
        <w:lang w:val="en-GB"/>
      </w:rPr>
    </w:pPr>
    <w:r w:rsidRPr="00714CCA">
      <w:rPr>
        <w:rFonts w:ascii="Times New Roman" w:hAnsi="Times New Roman" w:cs="Times New Roman"/>
        <w:b/>
        <w:bCs/>
        <w:color w:val="4F81BD"/>
        <w:sz w:val="20"/>
        <w:szCs w:val="20"/>
        <w:lang w:val="en-GB"/>
      </w:rPr>
      <w:t>Medical Science Journal for Advance Research</w:t>
    </w:r>
    <w:r w:rsidRPr="00C57017">
      <w:rPr>
        <w:rFonts w:ascii="Times New Roman" w:hAnsi="Times New Roman" w:cs="Times New Roman"/>
        <w:sz w:val="20"/>
        <w:szCs w:val="20"/>
        <w:lang w:val="en-GB"/>
      </w:rPr>
      <w:t xml:space="preserve">, </w:t>
    </w:r>
    <w:r>
      <w:rPr>
        <w:rFonts w:ascii="Times New Roman" w:hAnsi="Times New Roman" w:cs="Times New Roman"/>
        <w:sz w:val="20"/>
        <w:szCs w:val="20"/>
        <w:lang w:val="en-GB"/>
      </w:rPr>
      <w:tab/>
    </w:r>
    <w:r>
      <w:rPr>
        <w:rFonts w:ascii="Times New Roman" w:hAnsi="Times New Roman" w:cs="Times New Roman"/>
        <w:sz w:val="20"/>
        <w:szCs w:val="20"/>
        <w:lang w:val="en-GB"/>
      </w:rPr>
      <w:tab/>
    </w:r>
    <w:r w:rsidRPr="00C57017">
      <w:rPr>
        <w:rFonts w:ascii="Times New Roman" w:hAnsi="Times New Roman" w:cs="Times New Roman"/>
        <w:sz w:val="20"/>
        <w:szCs w:val="20"/>
        <w:lang w:val="en-GB"/>
      </w:rPr>
      <w:t xml:space="preserve">Vol. </w:t>
    </w:r>
    <w:r>
      <w:rPr>
        <w:rFonts w:ascii="Times New Roman" w:hAnsi="Times New Roman" w:cs="Times New Roman"/>
        <w:sz w:val="20"/>
        <w:szCs w:val="20"/>
        <w:lang w:val="en-GB"/>
      </w:rPr>
      <w:t>6</w:t>
    </w:r>
    <w:r w:rsidRPr="00C57017">
      <w:rPr>
        <w:rFonts w:ascii="Times New Roman" w:hAnsi="Times New Roman" w:cs="Times New Roman"/>
        <w:sz w:val="20"/>
        <w:szCs w:val="20"/>
        <w:lang w:val="en-GB"/>
      </w:rPr>
      <w:t xml:space="preserve">, No. </w:t>
    </w:r>
    <w:r>
      <w:rPr>
        <w:rFonts w:ascii="Times New Roman" w:hAnsi="Times New Roman" w:cs="Times New Roman"/>
        <w:sz w:val="20"/>
        <w:szCs w:val="20"/>
        <w:lang w:val="en-GB"/>
      </w:rPr>
      <w:t>3</w:t>
    </w:r>
    <w:r w:rsidRPr="00C5701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September </w:t>
    </w:r>
    <w:r w:rsidRPr="00C57017">
      <w:rPr>
        <w:rFonts w:ascii="Times New Roman" w:hAnsi="Times New Roman" w:cs="Times New Roman"/>
        <w:sz w:val="20"/>
        <w:szCs w:val="20"/>
        <w:lang w:val="en-GB"/>
      </w:rPr>
      <w:t>202</w:t>
    </w:r>
    <w:r>
      <w:rPr>
        <w:rFonts w:ascii="Times New Roman" w:hAnsi="Times New Roman" w:cs="Times New Roman"/>
        <w:sz w:val="20"/>
        <w:szCs w:val="20"/>
        <w:lang w:val="en-GB"/>
      </w:rPr>
      <w:t>5</w:t>
    </w:r>
  </w:p>
  <w:p w14:paraId="165A7E20" w14:textId="77777777" w:rsidR="009E4EBF" w:rsidRPr="00C57017" w:rsidRDefault="009E4EBF" w:rsidP="00491296">
    <w:pPr>
      <w:pStyle w:val="Header"/>
      <w:rPr>
        <w:rFonts w:ascii="Times New Roman" w:hAnsi="Times New Roman" w:cs="Times New Roman"/>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5D70" w14:textId="61905A4F" w:rsidR="009E4EBF" w:rsidRPr="00C57017" w:rsidRDefault="009E4EBF" w:rsidP="0063270B">
    <w:pPr>
      <w:pStyle w:val="Header"/>
      <w:pBdr>
        <w:bottom w:val="single" w:sz="4" w:space="1" w:color="auto"/>
      </w:pBdr>
      <w:tabs>
        <w:tab w:val="clear" w:pos="9026"/>
        <w:tab w:val="right" w:pos="9638"/>
      </w:tabs>
      <w:rPr>
        <w:rFonts w:ascii="Times New Roman" w:hAnsi="Times New Roman" w:cs="Times New Roman"/>
        <w:sz w:val="20"/>
        <w:szCs w:val="20"/>
        <w:lang w:val="en-GB"/>
      </w:rPr>
    </w:pPr>
    <w:r w:rsidRPr="00714CCA">
      <w:rPr>
        <w:rFonts w:ascii="Times New Roman" w:hAnsi="Times New Roman" w:cs="Times New Roman"/>
        <w:b/>
        <w:bCs/>
        <w:color w:val="4F81BD"/>
        <w:sz w:val="20"/>
        <w:szCs w:val="20"/>
        <w:lang w:val="en-GB"/>
      </w:rPr>
      <w:t>Medical Science Journal for Advance Research</w:t>
    </w:r>
    <w:r w:rsidRPr="00C57017">
      <w:rPr>
        <w:rFonts w:ascii="Times New Roman" w:hAnsi="Times New Roman" w:cs="Times New Roman"/>
        <w:sz w:val="20"/>
        <w:szCs w:val="20"/>
        <w:lang w:val="en-GB"/>
      </w:rPr>
      <w:t xml:space="preserve">, </w:t>
    </w:r>
    <w:r>
      <w:rPr>
        <w:rFonts w:ascii="Times New Roman" w:hAnsi="Times New Roman" w:cs="Times New Roman"/>
        <w:sz w:val="20"/>
        <w:szCs w:val="20"/>
        <w:lang w:val="en-GB"/>
      </w:rPr>
      <w:tab/>
    </w:r>
    <w:r>
      <w:rPr>
        <w:rFonts w:ascii="Times New Roman" w:hAnsi="Times New Roman" w:cs="Times New Roman"/>
        <w:sz w:val="20"/>
        <w:szCs w:val="20"/>
        <w:lang w:val="en-GB"/>
      </w:rPr>
      <w:tab/>
    </w:r>
    <w:r w:rsidRPr="00C57017">
      <w:rPr>
        <w:rFonts w:ascii="Times New Roman" w:hAnsi="Times New Roman" w:cs="Times New Roman"/>
        <w:sz w:val="20"/>
        <w:szCs w:val="20"/>
        <w:lang w:val="en-GB"/>
      </w:rPr>
      <w:t xml:space="preserve">Vol. </w:t>
    </w:r>
    <w:r>
      <w:rPr>
        <w:rFonts w:ascii="Times New Roman" w:hAnsi="Times New Roman" w:cs="Times New Roman"/>
        <w:sz w:val="20"/>
        <w:szCs w:val="20"/>
        <w:lang w:val="en-GB"/>
      </w:rPr>
      <w:t>6</w:t>
    </w:r>
    <w:r w:rsidRPr="00C57017">
      <w:rPr>
        <w:rFonts w:ascii="Times New Roman" w:hAnsi="Times New Roman" w:cs="Times New Roman"/>
        <w:sz w:val="20"/>
        <w:szCs w:val="20"/>
        <w:lang w:val="en-GB"/>
      </w:rPr>
      <w:t xml:space="preserve">, No. </w:t>
    </w:r>
    <w:r>
      <w:rPr>
        <w:rFonts w:ascii="Times New Roman" w:hAnsi="Times New Roman" w:cs="Times New Roman"/>
        <w:sz w:val="20"/>
        <w:szCs w:val="20"/>
        <w:lang w:val="en-GB"/>
      </w:rPr>
      <w:t>3</w:t>
    </w:r>
    <w:r w:rsidRPr="00C57017">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 xml:space="preserve">September </w:t>
    </w:r>
    <w:r w:rsidRPr="00C57017">
      <w:rPr>
        <w:rFonts w:ascii="Times New Roman" w:hAnsi="Times New Roman" w:cs="Times New Roman"/>
        <w:sz w:val="20"/>
        <w:szCs w:val="20"/>
        <w:lang w:val="en-GB"/>
      </w:rPr>
      <w:t xml:space="preserve"> 202</w:t>
    </w:r>
    <w:r>
      <w:rPr>
        <w:rFonts w:ascii="Times New Roman" w:hAnsi="Times New Roman" w:cs="Times New Roman"/>
        <w:sz w:val="20"/>
        <w:szCs w:val="20"/>
        <w:lang w:val="en-GB"/>
      </w:rPr>
      <w:t>5</w:t>
    </w:r>
    <w:proofErr w:type="gramEnd"/>
  </w:p>
  <w:p w14:paraId="7AC68034" w14:textId="77777777" w:rsidR="009E4EBF" w:rsidRPr="00C57017" w:rsidRDefault="009E4EBF" w:rsidP="00491296">
    <w:pPr>
      <w:pStyle w:val="Header"/>
      <w:jc w:val="right"/>
      <w:rPr>
        <w:rFonts w:ascii="Times New Roman" w:hAnsi="Times New Roman" w:cs="Times New Roman"/>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585"/>
      <w:gridCol w:w="3269"/>
    </w:tblGrid>
    <w:tr w:rsidR="009E4EBF" w:rsidRPr="00C57017" w14:paraId="127A65BC" w14:textId="77777777" w:rsidTr="00F246D1">
      <w:tc>
        <w:tcPr>
          <w:tcW w:w="4814" w:type="dxa"/>
          <w:shd w:val="clear" w:color="auto" w:fill="auto"/>
        </w:tcPr>
        <w:p w14:paraId="2FA7511E" w14:textId="77777777" w:rsidR="009E4EBF" w:rsidRPr="00C57017" w:rsidRDefault="009E4EBF" w:rsidP="00F246D1">
          <w:pPr>
            <w:pStyle w:val="Header"/>
            <w:jc w:val="both"/>
            <w:rPr>
              <w:rFonts w:ascii="Times New Roman" w:hAnsi="Times New Roman" w:cs="Times New Roman"/>
              <w:sz w:val="20"/>
              <w:lang w:val="en-GB"/>
            </w:rPr>
          </w:pPr>
          <w:r w:rsidRPr="00C57017">
            <w:rPr>
              <w:rFonts w:ascii="Times New Roman" w:hAnsi="Times New Roman" w:cs="Times New Roman"/>
              <w:noProof/>
              <w:lang w:val="en-US"/>
            </w:rPr>
            <w:drawing>
              <wp:inline distT="0" distB="0" distL="0" distR="0" wp14:anchorId="1CEF1199" wp14:editId="1A82DF12">
                <wp:extent cx="4044663" cy="685800"/>
                <wp:effectExtent l="0" t="0" r="0" b="0"/>
                <wp:docPr id="1813348107" name="Picture 181334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39682" cy="701911"/>
                        </a:xfrm>
                        <a:prstGeom prst="rect">
                          <a:avLst/>
                        </a:prstGeom>
                        <a:noFill/>
                        <a:ln>
                          <a:noFill/>
                        </a:ln>
                      </pic:spPr>
                    </pic:pic>
                  </a:graphicData>
                </a:graphic>
              </wp:inline>
            </w:drawing>
          </w:r>
        </w:p>
      </w:tc>
      <w:tc>
        <w:tcPr>
          <w:tcW w:w="4814" w:type="dxa"/>
          <w:shd w:val="clear" w:color="auto" w:fill="auto"/>
        </w:tcPr>
        <w:p w14:paraId="40DFBAB9" w14:textId="77777777" w:rsidR="009E4EBF" w:rsidRPr="005A2808" w:rsidRDefault="009E4EBF" w:rsidP="00F246D1">
          <w:pPr>
            <w:pStyle w:val="Header"/>
            <w:jc w:val="right"/>
            <w:rPr>
              <w:rFonts w:ascii="Times New Roman" w:hAnsi="Times New Roman" w:cs="Times New Roman"/>
              <w:sz w:val="18"/>
              <w:szCs w:val="18"/>
              <w:lang w:val="en-GB"/>
            </w:rPr>
          </w:pPr>
          <w:r w:rsidRPr="005A2808">
            <w:rPr>
              <w:rFonts w:ascii="Times New Roman" w:hAnsi="Times New Roman" w:cs="Times New Roman"/>
              <w:noProof/>
              <w:sz w:val="18"/>
              <w:szCs w:val="18"/>
              <w:lang w:val="en-US"/>
            </w:rPr>
            <w:drawing>
              <wp:anchor distT="0" distB="0" distL="114300" distR="114300" simplePos="0" relativeHeight="251667968" behindDoc="0" locked="0" layoutInCell="1" allowOverlap="1" wp14:anchorId="29B469C4" wp14:editId="094A4ED6">
                <wp:simplePos x="0" y="0"/>
                <wp:positionH relativeFrom="column">
                  <wp:posOffset>1104900</wp:posOffset>
                </wp:positionH>
                <wp:positionV relativeFrom="paragraph">
                  <wp:posOffset>6037</wp:posOffset>
                </wp:positionV>
                <wp:extent cx="762000" cy="142875"/>
                <wp:effectExtent l="0" t="0" r="0" b="9525"/>
                <wp:wrapNone/>
                <wp:docPr id="18029472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0B2857" w14:textId="77777777" w:rsidR="009E4EBF" w:rsidRPr="005A2808" w:rsidRDefault="009E4EBF" w:rsidP="00F246D1">
          <w:pPr>
            <w:pStyle w:val="Header"/>
            <w:jc w:val="right"/>
            <w:rPr>
              <w:rFonts w:ascii="Times New Roman" w:hAnsi="Times New Roman" w:cs="Times New Roman"/>
              <w:sz w:val="18"/>
              <w:szCs w:val="18"/>
              <w:lang w:val="en-GB"/>
            </w:rPr>
          </w:pPr>
        </w:p>
        <w:p w14:paraId="61178957" w14:textId="77777777" w:rsidR="009E4EBF" w:rsidRPr="005A2808" w:rsidRDefault="009E4EBF" w:rsidP="00F246D1">
          <w:pPr>
            <w:pStyle w:val="Header"/>
            <w:jc w:val="right"/>
            <w:rPr>
              <w:rFonts w:ascii="Times New Roman" w:hAnsi="Times New Roman" w:cs="Times New Roman"/>
              <w:sz w:val="18"/>
              <w:szCs w:val="18"/>
              <w:lang w:val="en-GB"/>
            </w:rPr>
          </w:pPr>
          <w:r w:rsidRPr="005A2808">
            <w:rPr>
              <w:rFonts w:ascii="Times New Roman" w:hAnsi="Times New Roman" w:cs="Times New Roman"/>
              <w:sz w:val="18"/>
              <w:szCs w:val="18"/>
              <w:lang w:val="en-GB"/>
            </w:rPr>
            <w:t>Copyright © The Author(s)</w:t>
          </w:r>
        </w:p>
        <w:p w14:paraId="5EFCB27C" w14:textId="79A507B0" w:rsidR="009E4EBF" w:rsidRPr="005A2808" w:rsidRDefault="009E4EBF" w:rsidP="00F246D1">
          <w:pPr>
            <w:pStyle w:val="Header"/>
            <w:jc w:val="right"/>
            <w:rPr>
              <w:rFonts w:ascii="Times New Roman" w:hAnsi="Times New Roman" w:cs="Times New Roman"/>
              <w:sz w:val="18"/>
              <w:szCs w:val="18"/>
              <w:lang w:val="en-GB"/>
            </w:rPr>
          </w:pPr>
          <w:r w:rsidRPr="005A2808">
            <w:rPr>
              <w:rFonts w:ascii="Times New Roman" w:hAnsi="Times New Roman" w:cs="Times New Roman"/>
              <w:sz w:val="18"/>
              <w:szCs w:val="18"/>
              <w:lang w:val="en-GB"/>
            </w:rPr>
            <w:t xml:space="preserve">Vol. </w:t>
          </w:r>
          <w:r>
            <w:rPr>
              <w:rFonts w:ascii="Times New Roman" w:hAnsi="Times New Roman" w:cs="Times New Roman"/>
              <w:sz w:val="18"/>
              <w:szCs w:val="18"/>
              <w:lang w:val="en-GB"/>
            </w:rPr>
            <w:t>6</w:t>
          </w:r>
          <w:r w:rsidRPr="005A2808">
            <w:rPr>
              <w:rFonts w:ascii="Times New Roman" w:hAnsi="Times New Roman" w:cs="Times New Roman"/>
              <w:sz w:val="18"/>
              <w:szCs w:val="18"/>
              <w:lang w:val="en-GB"/>
            </w:rPr>
            <w:t xml:space="preserve">, No. </w:t>
          </w:r>
          <w:r>
            <w:rPr>
              <w:rFonts w:ascii="Times New Roman" w:hAnsi="Times New Roman" w:cs="Times New Roman" w:hint="cs"/>
              <w:sz w:val="18"/>
              <w:szCs w:val="18"/>
              <w:rtl/>
              <w:lang w:val="en-GB"/>
            </w:rPr>
            <w:t>3</w:t>
          </w:r>
          <w:r w:rsidRPr="005A2808">
            <w:rPr>
              <w:rFonts w:ascii="Times New Roman" w:hAnsi="Times New Roman" w:cs="Times New Roman"/>
              <w:sz w:val="18"/>
              <w:szCs w:val="18"/>
              <w:lang w:val="en-GB"/>
            </w:rPr>
            <w:t xml:space="preserve">, </w:t>
          </w:r>
          <w:r>
            <w:rPr>
              <w:rFonts w:ascii="Times New Roman" w:hAnsi="Times New Roman" w:cs="Times New Roman"/>
              <w:sz w:val="18"/>
              <w:szCs w:val="18"/>
              <w:lang w:val="en-US"/>
            </w:rPr>
            <w:t>September</w:t>
          </w:r>
          <w:r>
            <w:rPr>
              <w:rFonts w:ascii="Times New Roman" w:hAnsi="Times New Roman" w:cs="Times New Roman"/>
              <w:sz w:val="18"/>
              <w:szCs w:val="18"/>
              <w:lang w:val="en-GB"/>
            </w:rPr>
            <w:t xml:space="preserve"> </w:t>
          </w:r>
          <w:r w:rsidRPr="005A2808">
            <w:rPr>
              <w:rFonts w:ascii="Times New Roman" w:hAnsi="Times New Roman" w:cs="Times New Roman"/>
              <w:sz w:val="18"/>
              <w:szCs w:val="18"/>
              <w:lang w:val="en-GB"/>
            </w:rPr>
            <w:t>202</w:t>
          </w:r>
          <w:r>
            <w:rPr>
              <w:rFonts w:ascii="Times New Roman" w:hAnsi="Times New Roman" w:cs="Times New Roman"/>
              <w:sz w:val="18"/>
              <w:szCs w:val="18"/>
              <w:lang w:val="en-GB"/>
            </w:rPr>
            <w:t>5</w:t>
          </w:r>
        </w:p>
        <w:p w14:paraId="1F581DC2" w14:textId="405DD376" w:rsidR="009E4EBF" w:rsidRPr="005A2808" w:rsidRDefault="009E4EBF" w:rsidP="0003615B">
          <w:pPr>
            <w:pStyle w:val="Header"/>
            <w:jc w:val="right"/>
            <w:rPr>
              <w:rFonts w:ascii="Times New Roman" w:hAnsi="Times New Roman" w:cs="Times New Roman"/>
              <w:sz w:val="18"/>
              <w:szCs w:val="18"/>
              <w:lang w:val="en-GB"/>
            </w:rPr>
          </w:pPr>
          <w:r w:rsidRPr="00714CCA">
            <w:rPr>
              <w:rFonts w:ascii="Times New Roman" w:hAnsi="Times New Roman" w:cs="Times New Roman"/>
              <w:b/>
              <w:bCs/>
              <w:i/>
              <w:iCs/>
              <w:color w:val="4F81BD"/>
              <w:sz w:val="18"/>
              <w:szCs w:val="18"/>
            </w:rPr>
            <w:t>e</w:t>
          </w:r>
          <w:r w:rsidRPr="00714CCA">
            <w:rPr>
              <w:rFonts w:ascii="Times New Roman" w:hAnsi="Times New Roman" w:cs="Times New Roman"/>
              <w:b/>
              <w:bCs/>
              <w:i/>
              <w:iCs/>
              <w:color w:val="4F81BD"/>
              <w:sz w:val="18"/>
              <w:szCs w:val="18"/>
              <w:lang w:val="en-ID"/>
            </w:rPr>
            <w:t>-</w:t>
          </w:r>
          <w:r w:rsidRPr="00714CCA">
            <w:rPr>
              <w:rFonts w:ascii="Times New Roman" w:hAnsi="Times New Roman" w:cs="Times New Roman"/>
              <w:b/>
              <w:bCs/>
              <w:color w:val="4F81BD"/>
              <w:sz w:val="18"/>
              <w:szCs w:val="18"/>
            </w:rPr>
            <w:t>ISSN: </w:t>
          </w:r>
          <w:r w:rsidRPr="00714CCA">
            <w:rPr>
              <w:rFonts w:ascii="Times New Roman" w:hAnsi="Times New Roman" w:cs="Times New Roman"/>
              <w:b/>
              <w:bCs/>
              <w:color w:val="4F81BD"/>
              <w:sz w:val="18"/>
              <w:szCs w:val="18"/>
              <w:lang w:val="en-US"/>
            </w:rPr>
            <w:t>2774</w:t>
          </w:r>
          <w:r w:rsidRPr="00714CCA">
            <w:rPr>
              <w:rFonts w:ascii="Times New Roman" w:hAnsi="Times New Roman" w:cs="Times New Roman"/>
              <w:b/>
              <w:bCs/>
              <w:color w:val="4F81BD"/>
              <w:sz w:val="18"/>
              <w:szCs w:val="18"/>
            </w:rPr>
            <w:t>-</w:t>
          </w:r>
          <w:r w:rsidRPr="00714CCA">
            <w:rPr>
              <w:rFonts w:ascii="Times New Roman" w:hAnsi="Times New Roman" w:cs="Times New Roman"/>
              <w:b/>
              <w:bCs/>
              <w:color w:val="4F81BD"/>
              <w:sz w:val="18"/>
              <w:szCs w:val="18"/>
              <w:lang w:val="en-US"/>
            </w:rPr>
            <w:t>4892</w:t>
          </w:r>
        </w:p>
      </w:tc>
    </w:tr>
  </w:tbl>
  <w:p w14:paraId="7C9D90FE" w14:textId="77777777" w:rsidR="009E4EBF" w:rsidRPr="00C57017" w:rsidRDefault="009E4EBF" w:rsidP="00491296">
    <w:pPr>
      <w:pStyle w:val="Header"/>
      <w:rPr>
        <w:rFonts w:ascii="Times New Roman" w:hAnsi="Times New Roman" w:cs="Times New Roman"/>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4A5F"/>
    <w:multiLevelType w:val="hybridMultilevel"/>
    <w:tmpl w:val="71BA49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C5B32"/>
    <w:multiLevelType w:val="hybridMultilevel"/>
    <w:tmpl w:val="A85662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7D5FF1"/>
    <w:multiLevelType w:val="hybridMultilevel"/>
    <w:tmpl w:val="D1D221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9476490">
    <w:abstractNumId w:val="1"/>
  </w:num>
  <w:num w:numId="2" w16cid:durableId="281303279">
    <w:abstractNumId w:val="2"/>
  </w:num>
  <w:num w:numId="3" w16cid:durableId="19578266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0MzQxMLQAsg0sDZV0lIJTi4sz8/NACgyNawGgd0kxLQAAAA=="/>
  </w:docVars>
  <w:rsids>
    <w:rsidRoot w:val="003D7543"/>
    <w:rsid w:val="00002C59"/>
    <w:rsid w:val="000035AE"/>
    <w:rsid w:val="000226D8"/>
    <w:rsid w:val="00026542"/>
    <w:rsid w:val="000266E6"/>
    <w:rsid w:val="0003615B"/>
    <w:rsid w:val="000605BA"/>
    <w:rsid w:val="00070322"/>
    <w:rsid w:val="0009400D"/>
    <w:rsid w:val="000A48AF"/>
    <w:rsid w:val="000B717B"/>
    <w:rsid w:val="000C1E7C"/>
    <w:rsid w:val="000E4301"/>
    <w:rsid w:val="000E7466"/>
    <w:rsid w:val="00104461"/>
    <w:rsid w:val="0011291C"/>
    <w:rsid w:val="00112E28"/>
    <w:rsid w:val="0012269C"/>
    <w:rsid w:val="00140DC1"/>
    <w:rsid w:val="00143625"/>
    <w:rsid w:val="00154F17"/>
    <w:rsid w:val="001646C5"/>
    <w:rsid w:val="001661E1"/>
    <w:rsid w:val="00186C4B"/>
    <w:rsid w:val="00193719"/>
    <w:rsid w:val="001A420D"/>
    <w:rsid w:val="001B0459"/>
    <w:rsid w:val="001B06F0"/>
    <w:rsid w:val="001B1BB7"/>
    <w:rsid w:val="001B2EB9"/>
    <w:rsid w:val="001B675A"/>
    <w:rsid w:val="001F1B0E"/>
    <w:rsid w:val="001F555B"/>
    <w:rsid w:val="00230B8E"/>
    <w:rsid w:val="00241094"/>
    <w:rsid w:val="00284F78"/>
    <w:rsid w:val="002A3A57"/>
    <w:rsid w:val="002C0024"/>
    <w:rsid w:val="002C0037"/>
    <w:rsid w:val="002C027A"/>
    <w:rsid w:val="002C7024"/>
    <w:rsid w:val="002D25BE"/>
    <w:rsid w:val="002E6A1C"/>
    <w:rsid w:val="002F5B8D"/>
    <w:rsid w:val="00301E90"/>
    <w:rsid w:val="00327FE7"/>
    <w:rsid w:val="0033307C"/>
    <w:rsid w:val="00335976"/>
    <w:rsid w:val="00346071"/>
    <w:rsid w:val="00347CAF"/>
    <w:rsid w:val="00350060"/>
    <w:rsid w:val="00360015"/>
    <w:rsid w:val="00373C7E"/>
    <w:rsid w:val="003772A4"/>
    <w:rsid w:val="0039034C"/>
    <w:rsid w:val="00393CB2"/>
    <w:rsid w:val="00394B5A"/>
    <w:rsid w:val="003B736C"/>
    <w:rsid w:val="003C70A5"/>
    <w:rsid w:val="003D7543"/>
    <w:rsid w:val="003E08AE"/>
    <w:rsid w:val="003E5390"/>
    <w:rsid w:val="003E772A"/>
    <w:rsid w:val="004005F2"/>
    <w:rsid w:val="004022EC"/>
    <w:rsid w:val="00414FDB"/>
    <w:rsid w:val="00415707"/>
    <w:rsid w:val="004161B3"/>
    <w:rsid w:val="004255A9"/>
    <w:rsid w:val="00430736"/>
    <w:rsid w:val="00440DFE"/>
    <w:rsid w:val="00473491"/>
    <w:rsid w:val="00481800"/>
    <w:rsid w:val="00491296"/>
    <w:rsid w:val="00495601"/>
    <w:rsid w:val="00496B54"/>
    <w:rsid w:val="004A1074"/>
    <w:rsid w:val="004A6D6C"/>
    <w:rsid w:val="004A6EDA"/>
    <w:rsid w:val="004B2819"/>
    <w:rsid w:val="004D751B"/>
    <w:rsid w:val="004D7D27"/>
    <w:rsid w:val="0050072A"/>
    <w:rsid w:val="00527141"/>
    <w:rsid w:val="00530981"/>
    <w:rsid w:val="00531C0D"/>
    <w:rsid w:val="0055190E"/>
    <w:rsid w:val="00576EE1"/>
    <w:rsid w:val="00585D83"/>
    <w:rsid w:val="005A2808"/>
    <w:rsid w:val="005A63E8"/>
    <w:rsid w:val="005B2EC0"/>
    <w:rsid w:val="005B463F"/>
    <w:rsid w:val="005D3351"/>
    <w:rsid w:val="005D3522"/>
    <w:rsid w:val="005F496C"/>
    <w:rsid w:val="0061376D"/>
    <w:rsid w:val="00622430"/>
    <w:rsid w:val="0063270B"/>
    <w:rsid w:val="00663717"/>
    <w:rsid w:val="00671725"/>
    <w:rsid w:val="0067725F"/>
    <w:rsid w:val="00684AE4"/>
    <w:rsid w:val="006A625C"/>
    <w:rsid w:val="006B232B"/>
    <w:rsid w:val="006B4F97"/>
    <w:rsid w:val="006C1431"/>
    <w:rsid w:val="006C6B3C"/>
    <w:rsid w:val="006F0A19"/>
    <w:rsid w:val="00714CCA"/>
    <w:rsid w:val="007219B9"/>
    <w:rsid w:val="00724F08"/>
    <w:rsid w:val="00737BAA"/>
    <w:rsid w:val="00747D19"/>
    <w:rsid w:val="00774676"/>
    <w:rsid w:val="00774B08"/>
    <w:rsid w:val="00781334"/>
    <w:rsid w:val="00783391"/>
    <w:rsid w:val="00787DD4"/>
    <w:rsid w:val="00792C90"/>
    <w:rsid w:val="007A6554"/>
    <w:rsid w:val="007D173C"/>
    <w:rsid w:val="007F220E"/>
    <w:rsid w:val="00806495"/>
    <w:rsid w:val="008107E2"/>
    <w:rsid w:val="00830BB7"/>
    <w:rsid w:val="00831115"/>
    <w:rsid w:val="0083180B"/>
    <w:rsid w:val="008343CF"/>
    <w:rsid w:val="008518E4"/>
    <w:rsid w:val="008526AB"/>
    <w:rsid w:val="008547CF"/>
    <w:rsid w:val="00861513"/>
    <w:rsid w:val="00863F66"/>
    <w:rsid w:val="00885650"/>
    <w:rsid w:val="00893CC1"/>
    <w:rsid w:val="008A28E7"/>
    <w:rsid w:val="008A5211"/>
    <w:rsid w:val="008F58CB"/>
    <w:rsid w:val="008F6104"/>
    <w:rsid w:val="00911620"/>
    <w:rsid w:val="00915A37"/>
    <w:rsid w:val="009234C9"/>
    <w:rsid w:val="00942084"/>
    <w:rsid w:val="009541A8"/>
    <w:rsid w:val="00961D87"/>
    <w:rsid w:val="009676E0"/>
    <w:rsid w:val="00970F76"/>
    <w:rsid w:val="00974114"/>
    <w:rsid w:val="009818C8"/>
    <w:rsid w:val="009A55BD"/>
    <w:rsid w:val="009C4FAF"/>
    <w:rsid w:val="009C6B6B"/>
    <w:rsid w:val="009E20A4"/>
    <w:rsid w:val="009E4EBF"/>
    <w:rsid w:val="009F706E"/>
    <w:rsid w:val="00A17835"/>
    <w:rsid w:val="00A269B7"/>
    <w:rsid w:val="00A34D67"/>
    <w:rsid w:val="00A46A7C"/>
    <w:rsid w:val="00A513BE"/>
    <w:rsid w:val="00A64883"/>
    <w:rsid w:val="00A7598E"/>
    <w:rsid w:val="00A852C5"/>
    <w:rsid w:val="00A86EE0"/>
    <w:rsid w:val="00A95404"/>
    <w:rsid w:val="00A97FCC"/>
    <w:rsid w:val="00AA42FF"/>
    <w:rsid w:val="00AB732B"/>
    <w:rsid w:val="00AD1964"/>
    <w:rsid w:val="00AD4E08"/>
    <w:rsid w:val="00AE647A"/>
    <w:rsid w:val="00AF048D"/>
    <w:rsid w:val="00AF30D0"/>
    <w:rsid w:val="00B04965"/>
    <w:rsid w:val="00B05C8F"/>
    <w:rsid w:val="00B20C22"/>
    <w:rsid w:val="00B33078"/>
    <w:rsid w:val="00B507E9"/>
    <w:rsid w:val="00B77DBC"/>
    <w:rsid w:val="00B83951"/>
    <w:rsid w:val="00BA254B"/>
    <w:rsid w:val="00BD5CC9"/>
    <w:rsid w:val="00BE2938"/>
    <w:rsid w:val="00BE3B38"/>
    <w:rsid w:val="00BE6CC6"/>
    <w:rsid w:val="00C05210"/>
    <w:rsid w:val="00C13343"/>
    <w:rsid w:val="00C30E10"/>
    <w:rsid w:val="00C451DC"/>
    <w:rsid w:val="00C57017"/>
    <w:rsid w:val="00C66BCA"/>
    <w:rsid w:val="00C85850"/>
    <w:rsid w:val="00C93E91"/>
    <w:rsid w:val="00C96C60"/>
    <w:rsid w:val="00CA01EC"/>
    <w:rsid w:val="00CB0A68"/>
    <w:rsid w:val="00CB5FD0"/>
    <w:rsid w:val="00D1423E"/>
    <w:rsid w:val="00D30125"/>
    <w:rsid w:val="00D358B3"/>
    <w:rsid w:val="00D35CBB"/>
    <w:rsid w:val="00D3651A"/>
    <w:rsid w:val="00D40851"/>
    <w:rsid w:val="00D47380"/>
    <w:rsid w:val="00D53248"/>
    <w:rsid w:val="00D60A00"/>
    <w:rsid w:val="00D648B2"/>
    <w:rsid w:val="00D6660E"/>
    <w:rsid w:val="00D723A2"/>
    <w:rsid w:val="00D72557"/>
    <w:rsid w:val="00D72B40"/>
    <w:rsid w:val="00D82F8F"/>
    <w:rsid w:val="00D90050"/>
    <w:rsid w:val="00DB56A3"/>
    <w:rsid w:val="00DD29E2"/>
    <w:rsid w:val="00DD2D29"/>
    <w:rsid w:val="00DD3C5B"/>
    <w:rsid w:val="00DD7C6E"/>
    <w:rsid w:val="00DE0A33"/>
    <w:rsid w:val="00DE5470"/>
    <w:rsid w:val="00E0686E"/>
    <w:rsid w:val="00E352DA"/>
    <w:rsid w:val="00E35378"/>
    <w:rsid w:val="00E42DC8"/>
    <w:rsid w:val="00E468B5"/>
    <w:rsid w:val="00E5008C"/>
    <w:rsid w:val="00E801B4"/>
    <w:rsid w:val="00E81DCA"/>
    <w:rsid w:val="00E839DF"/>
    <w:rsid w:val="00E83E52"/>
    <w:rsid w:val="00E87379"/>
    <w:rsid w:val="00EA4C3C"/>
    <w:rsid w:val="00EB0A0C"/>
    <w:rsid w:val="00EB3F95"/>
    <w:rsid w:val="00EB66C0"/>
    <w:rsid w:val="00EC17BE"/>
    <w:rsid w:val="00EC1DB9"/>
    <w:rsid w:val="00EC4990"/>
    <w:rsid w:val="00EF594A"/>
    <w:rsid w:val="00EF6A29"/>
    <w:rsid w:val="00F0023B"/>
    <w:rsid w:val="00F02A75"/>
    <w:rsid w:val="00F246D1"/>
    <w:rsid w:val="00F32CDA"/>
    <w:rsid w:val="00F52B1A"/>
    <w:rsid w:val="00F62766"/>
    <w:rsid w:val="00F64551"/>
    <w:rsid w:val="00FB02B0"/>
    <w:rsid w:val="00FD706B"/>
    <w:rsid w:val="00FD73DF"/>
    <w:rsid w:val="00FE4A37"/>
    <w:rsid w:val="00FF01F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14E94"/>
  <w15:docId w15:val="{11A1DE0F-F41D-4104-8A38-BB7477BD8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paragraph" w:styleId="Heading1">
    <w:name w:val="heading 1"/>
    <w:basedOn w:val="Normal"/>
    <w:next w:val="Normal"/>
    <w:link w:val="Heading1Char"/>
    <w:uiPriority w:val="9"/>
    <w:qFormat/>
    <w:rsid w:val="00531C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D6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5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Normal1">
    <w:name w:val="Table Normal1"/>
    <w:rsid w:val="00414FDB"/>
    <w:rPr>
      <w:rFonts w:ascii="Times New Roman" w:eastAsia="Arial Unicode MS" w:hAnsi="Times New Roman" w:cs="Times New Roman"/>
      <w:lang w:val="en-US" w:eastAsia="en-US"/>
    </w:rPr>
    <w:tblPr>
      <w:tblCellMar>
        <w:top w:w="0" w:type="dxa"/>
        <w:left w:w="0" w:type="dxa"/>
        <w:bottom w:w="0" w:type="dxa"/>
        <w:right w:w="0" w:type="dxa"/>
      </w:tblCellMar>
    </w:tblPr>
  </w:style>
  <w:style w:type="table" w:customStyle="1" w:styleId="TableNormal11">
    <w:name w:val="Table Normal11"/>
    <w:rsid w:val="00414FDB"/>
    <w:rPr>
      <w:rFonts w:ascii="Times New Roman" w:eastAsia="Arial Unicode MS" w:hAnsi="Times New Roman" w:cs="Times New Roman"/>
      <w:lang w:val="en-US" w:eastAsia="en-US"/>
    </w:rPr>
    <w:tblPr>
      <w:tblCellMar>
        <w:top w:w="0" w:type="dxa"/>
        <w:left w:w="0" w:type="dxa"/>
        <w:bottom w:w="0" w:type="dxa"/>
        <w:right w:w="0" w:type="dxa"/>
      </w:tblCellMar>
    </w:tblPr>
  </w:style>
  <w:style w:type="table" w:customStyle="1" w:styleId="1">
    <w:name w:val="شبكة جدول1"/>
    <w:basedOn w:val="TableNormal"/>
    <w:uiPriority w:val="59"/>
    <w:rsid w:val="00414FDB"/>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414FDB"/>
    <w:rPr>
      <w:rFonts w:ascii="Times New Roman" w:eastAsia="Arial Unicode MS" w:hAnsi="Times New Roman" w:cs="Times New Roman"/>
      <w:lang w:val="en-US" w:eastAsia="en-US"/>
    </w:rPr>
    <w:tblPr>
      <w:tblCellMar>
        <w:top w:w="0" w:type="dxa"/>
        <w:left w:w="0" w:type="dxa"/>
        <w:bottom w:w="0" w:type="dxa"/>
        <w:right w:w="0" w:type="dxa"/>
      </w:tblCellMar>
    </w:tblPr>
  </w:style>
  <w:style w:type="table" w:customStyle="1" w:styleId="TableGrid2">
    <w:name w:val="Table Grid2"/>
    <w:basedOn w:val="TableNormal"/>
    <w:uiPriority w:val="59"/>
    <w:rsid w:val="00414FDB"/>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3615B"/>
    <w:rPr>
      <w:color w:val="605E5C"/>
      <w:shd w:val="clear" w:color="auto" w:fill="E1DFDD"/>
    </w:rPr>
  </w:style>
  <w:style w:type="character" w:customStyle="1" w:styleId="Heading1Char">
    <w:name w:val="Heading 1 Char"/>
    <w:basedOn w:val="DefaultParagraphFont"/>
    <w:link w:val="Heading1"/>
    <w:uiPriority w:val="9"/>
    <w:rsid w:val="00531C0D"/>
    <w:rPr>
      <w:rFonts w:asciiTheme="majorHAnsi" w:eastAsiaTheme="majorEastAsia" w:hAnsiTheme="majorHAnsi" w:cstheme="majorBidi"/>
      <w:color w:val="2F5496" w:themeColor="accent1" w:themeShade="BF"/>
      <w:sz w:val="32"/>
      <w:szCs w:val="32"/>
      <w:lang w:val="id-ID" w:eastAsia="en-US"/>
    </w:rPr>
  </w:style>
  <w:style w:type="character" w:styleId="CommentReference">
    <w:name w:val="annotation reference"/>
    <w:basedOn w:val="DefaultParagraphFont"/>
    <w:uiPriority w:val="99"/>
    <w:semiHidden/>
    <w:unhideWhenUsed/>
    <w:rsid w:val="00F64551"/>
    <w:rPr>
      <w:sz w:val="16"/>
      <w:szCs w:val="16"/>
    </w:rPr>
  </w:style>
  <w:style w:type="paragraph" w:styleId="CommentText">
    <w:name w:val="annotation text"/>
    <w:basedOn w:val="Normal"/>
    <w:link w:val="CommentTextChar"/>
    <w:uiPriority w:val="99"/>
    <w:semiHidden/>
    <w:unhideWhenUsed/>
    <w:rsid w:val="00F64551"/>
    <w:pPr>
      <w:spacing w:line="240" w:lineRule="auto"/>
    </w:pPr>
    <w:rPr>
      <w:sz w:val="20"/>
      <w:szCs w:val="20"/>
    </w:rPr>
  </w:style>
  <w:style w:type="character" w:customStyle="1" w:styleId="CommentTextChar">
    <w:name w:val="Comment Text Char"/>
    <w:basedOn w:val="DefaultParagraphFont"/>
    <w:link w:val="CommentText"/>
    <w:uiPriority w:val="99"/>
    <w:semiHidden/>
    <w:rsid w:val="00F64551"/>
    <w:rPr>
      <w:rFonts w:ascii="Calibri" w:hAnsi="Calibri"/>
      <w:lang w:val="id-ID" w:eastAsia="en-US"/>
    </w:rPr>
  </w:style>
  <w:style w:type="paragraph" w:styleId="CommentSubject">
    <w:name w:val="annotation subject"/>
    <w:basedOn w:val="CommentText"/>
    <w:next w:val="CommentText"/>
    <w:link w:val="CommentSubjectChar"/>
    <w:uiPriority w:val="99"/>
    <w:semiHidden/>
    <w:unhideWhenUsed/>
    <w:rsid w:val="00F64551"/>
    <w:rPr>
      <w:b/>
      <w:bCs/>
    </w:rPr>
  </w:style>
  <w:style w:type="character" w:customStyle="1" w:styleId="CommentSubjectChar">
    <w:name w:val="Comment Subject Char"/>
    <w:basedOn w:val="CommentTextChar"/>
    <w:link w:val="CommentSubject"/>
    <w:uiPriority w:val="99"/>
    <w:semiHidden/>
    <w:rsid w:val="00F64551"/>
    <w:rPr>
      <w:rFonts w:ascii="Calibri" w:hAnsi="Calibri"/>
      <w:b/>
      <w:bCs/>
      <w:lang w:val="id-ID" w:eastAsia="en-US"/>
    </w:rPr>
  </w:style>
  <w:style w:type="paragraph" w:styleId="NoSpacing">
    <w:name w:val="No Spacing"/>
    <w:uiPriority w:val="1"/>
    <w:qFormat/>
    <w:rsid w:val="00714CCA"/>
    <w:rPr>
      <w:rFonts w:asciiTheme="minorHAnsi" w:eastAsiaTheme="minorHAnsi" w:hAnsiTheme="minorHAnsi" w:cstheme="minorBidi"/>
      <w:sz w:val="22"/>
      <w:szCs w:val="22"/>
      <w:lang w:val="en-US" w:eastAsia="en-US"/>
    </w:rPr>
  </w:style>
  <w:style w:type="table" w:customStyle="1" w:styleId="GridTable7Colorful1">
    <w:name w:val="Grid Table 7 Colorful1"/>
    <w:basedOn w:val="TableNormal"/>
    <w:uiPriority w:val="52"/>
    <w:rsid w:val="00B20C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loonText">
    <w:name w:val="Balloon Text"/>
    <w:basedOn w:val="Normal"/>
    <w:link w:val="BalloonTextChar"/>
    <w:uiPriority w:val="99"/>
    <w:semiHidden/>
    <w:unhideWhenUsed/>
    <w:rsid w:val="004A6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D6C"/>
    <w:rPr>
      <w:rFonts w:ascii="Tahoma" w:hAnsi="Tahoma" w:cs="Tahoma"/>
      <w:sz w:val="16"/>
      <w:szCs w:val="16"/>
      <w:lang w:val="id-ID" w:eastAsia="en-US"/>
    </w:rPr>
  </w:style>
  <w:style w:type="character" w:customStyle="1" w:styleId="Heading3Char">
    <w:name w:val="Heading 3 Char"/>
    <w:basedOn w:val="DefaultParagraphFont"/>
    <w:link w:val="Heading3"/>
    <w:uiPriority w:val="9"/>
    <w:semiHidden/>
    <w:rsid w:val="004A6D6C"/>
    <w:rPr>
      <w:rFonts w:asciiTheme="majorHAnsi" w:eastAsiaTheme="majorEastAsia" w:hAnsiTheme="majorHAnsi" w:cstheme="majorBidi"/>
      <w:b/>
      <w:bCs/>
      <w:color w:val="4472C4" w:themeColor="accent1"/>
      <w:sz w:val="22"/>
      <w:szCs w:val="22"/>
      <w:lang w:val="id-ID" w:eastAsia="en-US"/>
    </w:rPr>
  </w:style>
  <w:style w:type="character" w:styleId="UnresolvedMention">
    <w:name w:val="Unresolved Mention"/>
    <w:basedOn w:val="DefaultParagraphFont"/>
    <w:uiPriority w:val="99"/>
    <w:semiHidden/>
    <w:unhideWhenUsed/>
    <w:rsid w:val="00D40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abm.algeubori@uokufa.edu.iq" TargetMode="External"/><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 Id="rId5" Type="http://schemas.openxmlformats.org/officeDocument/2006/relationships/hyperlink" Target="http://creativecommons.org/licenses/by/4.0/" TargetMode="External"/><Relationship Id="rId4"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igital%20Station\&#1606;&#1588;&#1585;%20&#1576;&#1581;&#1608;&#1579;%20&#1575;&#1604;&#1591;&#1604;&#1576;&#1577;\&#1593;&#1605;&#1575;&#1585;%20&#1606;&#1576;&#1610;&#1604;%20&#1605;&#1608;&#1580;&#1583;\DRAFT%20TEMPLATES-OTH%20(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riginal\Desktop\&#1575;&#1604;&#1605;&#1589;&#1606;&#1601;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riginal\Desktop\&#1575;&#1604;&#1605;&#1589;&#1606;&#1601;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5603808347485977"/>
          <c:y val="4.4006639111853409E-2"/>
          <c:w val="0.46690511527235112"/>
          <c:h val="0.85577162664855577"/>
        </c:manualLayout>
      </c:layout>
      <c:barChart>
        <c:barDir val="bar"/>
        <c:grouping val="clustered"/>
        <c:varyColors val="0"/>
        <c:ser>
          <c:idx val="0"/>
          <c:order val="0"/>
          <c:tx>
            <c:strRef>
              <c:f>ورقة1!$B$1:$B$2</c:f>
              <c:strCache>
                <c:ptCount val="1"/>
                <c:pt idx="0">
                  <c:v>Persentage % Influenza</c:v>
                </c:pt>
              </c:strCache>
            </c:strRef>
          </c:tx>
          <c:invertIfNegative val="0"/>
          <c:cat>
            <c:strRef>
              <c:f>ورقة1!$A$3:$A$7</c:f>
              <c:strCache>
                <c:ptCount val="5"/>
                <c:pt idx="0">
                  <c:v>&lt;18(years)</c:v>
                </c:pt>
                <c:pt idx="1">
                  <c:v>18-65(years)</c:v>
                </c:pt>
                <c:pt idx="2">
                  <c:v> &gt;65(years)</c:v>
                </c:pt>
                <c:pt idx="3">
                  <c:v>Male</c:v>
                </c:pt>
                <c:pt idx="4">
                  <c:v> Female</c:v>
                </c:pt>
              </c:strCache>
            </c:strRef>
          </c:cat>
          <c:val>
            <c:numRef>
              <c:f>ورقة1!$B$3:$B$7</c:f>
              <c:numCache>
                <c:formatCode>0.00%</c:formatCode>
                <c:ptCount val="5"/>
                <c:pt idx="0" formatCode="0%">
                  <c:v>0.24</c:v>
                </c:pt>
                <c:pt idx="1">
                  <c:v>0.56499999999999995</c:v>
                </c:pt>
                <c:pt idx="2" formatCode="0%">
                  <c:v>0.19</c:v>
                </c:pt>
                <c:pt idx="3">
                  <c:v>0.54700000000000004</c:v>
                </c:pt>
                <c:pt idx="4" formatCode="0%">
                  <c:v>0.45</c:v>
                </c:pt>
              </c:numCache>
            </c:numRef>
          </c:val>
          <c:extLst>
            <c:ext xmlns:c16="http://schemas.microsoft.com/office/drawing/2014/chart" uri="{C3380CC4-5D6E-409C-BE32-E72D297353CC}">
              <c16:uniqueId val="{00000000-A2EB-7445-9D8F-8033963C08E1}"/>
            </c:ext>
          </c:extLst>
        </c:ser>
        <c:ser>
          <c:idx val="1"/>
          <c:order val="1"/>
          <c:tx>
            <c:strRef>
              <c:f>ورقة1!$C$1:$C$2</c:f>
              <c:strCache>
                <c:ptCount val="1"/>
                <c:pt idx="0">
                  <c:v>Persentage %Parainfluenza </c:v>
                </c:pt>
              </c:strCache>
            </c:strRef>
          </c:tx>
          <c:invertIfNegative val="0"/>
          <c:cat>
            <c:strRef>
              <c:f>ورقة1!$A$3:$A$7</c:f>
              <c:strCache>
                <c:ptCount val="5"/>
                <c:pt idx="0">
                  <c:v>&lt;18(years)</c:v>
                </c:pt>
                <c:pt idx="1">
                  <c:v>18-65(years)</c:v>
                </c:pt>
                <c:pt idx="2">
                  <c:v> &gt;65(years)</c:v>
                </c:pt>
                <c:pt idx="3">
                  <c:v>Male</c:v>
                </c:pt>
                <c:pt idx="4">
                  <c:v> Female</c:v>
                </c:pt>
              </c:strCache>
            </c:strRef>
          </c:cat>
          <c:val>
            <c:numRef>
              <c:f>ورقة1!$C$3:$C$7</c:f>
              <c:numCache>
                <c:formatCode>0%</c:formatCode>
                <c:ptCount val="5"/>
                <c:pt idx="0">
                  <c:v>0.28000000000000003</c:v>
                </c:pt>
                <c:pt idx="1">
                  <c:v>0.54</c:v>
                </c:pt>
                <c:pt idx="2">
                  <c:v>0.18</c:v>
                </c:pt>
                <c:pt idx="3">
                  <c:v>0.45</c:v>
                </c:pt>
                <c:pt idx="4">
                  <c:v>0.55000000000000004</c:v>
                </c:pt>
              </c:numCache>
            </c:numRef>
          </c:val>
          <c:extLst>
            <c:ext xmlns:c16="http://schemas.microsoft.com/office/drawing/2014/chart" uri="{C3380CC4-5D6E-409C-BE32-E72D297353CC}">
              <c16:uniqueId val="{00000001-A2EB-7445-9D8F-8033963C08E1}"/>
            </c:ext>
          </c:extLst>
        </c:ser>
        <c:ser>
          <c:idx val="2"/>
          <c:order val="2"/>
          <c:tx>
            <c:strRef>
              <c:f>ورقة1!$D$1:$D$2</c:f>
              <c:strCache>
                <c:ptCount val="1"/>
                <c:pt idx="0">
                  <c:v>Persentage %Rhinoviru</c:v>
                </c:pt>
              </c:strCache>
            </c:strRef>
          </c:tx>
          <c:spPr>
            <a:ln>
              <a:solidFill>
                <a:schemeClr val="tx1"/>
              </a:solidFill>
            </a:ln>
          </c:spPr>
          <c:invertIfNegative val="0"/>
          <c:cat>
            <c:strRef>
              <c:f>ورقة1!$A$3:$A$7</c:f>
              <c:strCache>
                <c:ptCount val="5"/>
                <c:pt idx="0">
                  <c:v>&lt;18(years)</c:v>
                </c:pt>
                <c:pt idx="1">
                  <c:v>18-65(years)</c:v>
                </c:pt>
                <c:pt idx="2">
                  <c:v> &gt;65(years)</c:v>
                </c:pt>
                <c:pt idx="3">
                  <c:v>Male</c:v>
                </c:pt>
                <c:pt idx="4">
                  <c:v> Female</c:v>
                </c:pt>
              </c:strCache>
            </c:strRef>
          </c:cat>
          <c:val>
            <c:numRef>
              <c:f>ورقة1!$D$3:$D$7</c:f>
              <c:numCache>
                <c:formatCode>0.00%</c:formatCode>
                <c:ptCount val="5"/>
                <c:pt idx="0" formatCode="0%">
                  <c:v>0.35</c:v>
                </c:pt>
                <c:pt idx="1">
                  <c:v>0.55700000000000005</c:v>
                </c:pt>
                <c:pt idx="2" formatCode="0%">
                  <c:v>0.2</c:v>
                </c:pt>
                <c:pt idx="3">
                  <c:v>0.52600000000000002</c:v>
                </c:pt>
                <c:pt idx="4" formatCode="0%">
                  <c:v>0.42</c:v>
                </c:pt>
              </c:numCache>
            </c:numRef>
          </c:val>
          <c:extLst>
            <c:ext xmlns:c16="http://schemas.microsoft.com/office/drawing/2014/chart" uri="{C3380CC4-5D6E-409C-BE32-E72D297353CC}">
              <c16:uniqueId val="{00000002-A2EB-7445-9D8F-8033963C08E1}"/>
            </c:ext>
          </c:extLst>
        </c:ser>
        <c:dLbls>
          <c:showLegendKey val="0"/>
          <c:showVal val="0"/>
          <c:showCatName val="0"/>
          <c:showSerName val="0"/>
          <c:showPercent val="0"/>
          <c:showBubbleSize val="0"/>
        </c:dLbls>
        <c:gapWidth val="150"/>
        <c:axId val="328499200"/>
        <c:axId val="328497408"/>
      </c:barChart>
      <c:valAx>
        <c:axId val="328497408"/>
        <c:scaling>
          <c:orientation val="maxMin"/>
        </c:scaling>
        <c:delete val="0"/>
        <c:axPos val="b"/>
        <c:majorGridlines/>
        <c:numFmt formatCode="0%" sourceLinked="1"/>
        <c:majorTickMark val="out"/>
        <c:minorTickMark val="none"/>
        <c:tickLblPos val="nextTo"/>
        <c:crossAx val="328499200"/>
        <c:crosses val="autoZero"/>
        <c:crossBetween val="between"/>
      </c:valAx>
      <c:catAx>
        <c:axId val="328499200"/>
        <c:scaling>
          <c:orientation val="minMax"/>
        </c:scaling>
        <c:delete val="0"/>
        <c:axPos val="r"/>
        <c:numFmt formatCode="General" sourceLinked="0"/>
        <c:majorTickMark val="out"/>
        <c:minorTickMark val="none"/>
        <c:tickLblPos val="nextTo"/>
        <c:spPr>
          <a:noFill/>
          <a:ln>
            <a:solidFill>
              <a:schemeClr val="tx1"/>
            </a:solidFill>
          </a:ln>
        </c:spPr>
        <c:txPr>
          <a:bodyPr/>
          <a:lstStyle/>
          <a:p>
            <a:pPr>
              <a:defRPr>
                <a:solidFill>
                  <a:sysClr val="windowText" lastClr="000000"/>
                </a:solidFill>
              </a:defRPr>
            </a:pPr>
            <a:endParaRPr lang="en-US"/>
          </a:p>
        </c:txPr>
        <c:crossAx val="328497408"/>
        <c:crosses val="autoZero"/>
        <c:auto val="1"/>
        <c:lblAlgn val="ctr"/>
        <c:lblOffset val="100"/>
        <c:noMultiLvlLbl val="0"/>
      </c:catAx>
    </c:plotArea>
    <c:legend>
      <c:legendPos val="l"/>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b="1">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level of IgM U/ ml</a:t>
            </a:r>
            <a:endParaRPr lang="ar-SA"/>
          </a:p>
        </c:rich>
      </c:tx>
      <c:overlay val="0"/>
    </c:title>
    <c:autoTitleDeleted val="0"/>
    <c:plotArea>
      <c:layout>
        <c:manualLayout>
          <c:layoutTarget val="inner"/>
          <c:xMode val="edge"/>
          <c:yMode val="edge"/>
          <c:x val="0.22096362618844503"/>
          <c:y val="0.18425380865718499"/>
          <c:w val="0.50613436405302625"/>
          <c:h val="0.44585751922573741"/>
        </c:manualLayout>
      </c:layout>
      <c:lineChart>
        <c:grouping val="stacked"/>
        <c:varyColors val="0"/>
        <c:ser>
          <c:idx val="0"/>
          <c:order val="0"/>
          <c:tx>
            <c:strRef>
              <c:f>ورقة2!$A$2</c:f>
              <c:strCache>
                <c:ptCount val="1"/>
                <c:pt idx="0">
                  <c:v>&lt;18 yrs</c:v>
                </c:pt>
              </c:strCache>
            </c:strRef>
          </c:tx>
          <c:marker>
            <c:symbol val="none"/>
          </c:marker>
          <c:cat>
            <c:strRef>
              <c:f>ورقة2!$B$1:$E$1</c:f>
              <c:strCache>
                <c:ptCount val="4"/>
                <c:pt idx="0">
                  <c:v>Influenza IgM U/ ml</c:v>
                </c:pt>
                <c:pt idx="1">
                  <c:v>Parainfluenza IgM U/ ml</c:v>
                </c:pt>
                <c:pt idx="2">
                  <c:v>Rhinovirus IgM U/ ml</c:v>
                </c:pt>
                <c:pt idx="3">
                  <c:v>Control IgM U/ ml </c:v>
                </c:pt>
              </c:strCache>
            </c:strRef>
          </c:cat>
          <c:val>
            <c:numRef>
              <c:f>ورقة2!$B$2:$E$2</c:f>
              <c:numCache>
                <c:formatCode>General</c:formatCode>
                <c:ptCount val="4"/>
                <c:pt idx="0">
                  <c:v>2.6</c:v>
                </c:pt>
                <c:pt idx="1">
                  <c:v>2.9</c:v>
                </c:pt>
                <c:pt idx="2">
                  <c:v>1.2</c:v>
                </c:pt>
                <c:pt idx="3">
                  <c:v>0.2</c:v>
                </c:pt>
              </c:numCache>
            </c:numRef>
          </c:val>
          <c:smooth val="0"/>
          <c:extLst>
            <c:ext xmlns:c16="http://schemas.microsoft.com/office/drawing/2014/chart" uri="{C3380CC4-5D6E-409C-BE32-E72D297353CC}">
              <c16:uniqueId val="{00000000-2C64-BB4B-A428-23E5DA0FA5BF}"/>
            </c:ext>
          </c:extLst>
        </c:ser>
        <c:ser>
          <c:idx val="1"/>
          <c:order val="1"/>
          <c:tx>
            <c:strRef>
              <c:f>ورقة2!$A$3</c:f>
              <c:strCache>
                <c:ptCount val="1"/>
                <c:pt idx="0">
                  <c:v>18-65 yrs</c:v>
                </c:pt>
              </c:strCache>
            </c:strRef>
          </c:tx>
          <c:marker>
            <c:symbol val="none"/>
          </c:marker>
          <c:cat>
            <c:strRef>
              <c:f>ورقة2!$B$1:$E$1</c:f>
              <c:strCache>
                <c:ptCount val="4"/>
                <c:pt idx="0">
                  <c:v>Influenza IgM U/ ml</c:v>
                </c:pt>
                <c:pt idx="1">
                  <c:v>Parainfluenza IgM U/ ml</c:v>
                </c:pt>
                <c:pt idx="2">
                  <c:v>Rhinovirus IgM U/ ml</c:v>
                </c:pt>
                <c:pt idx="3">
                  <c:v>Control IgM U/ ml </c:v>
                </c:pt>
              </c:strCache>
            </c:strRef>
          </c:cat>
          <c:val>
            <c:numRef>
              <c:f>ورقة2!$B$3:$E$3</c:f>
              <c:numCache>
                <c:formatCode>General</c:formatCode>
                <c:ptCount val="4"/>
                <c:pt idx="0">
                  <c:v>3.1</c:v>
                </c:pt>
                <c:pt idx="1">
                  <c:v>3.9</c:v>
                </c:pt>
                <c:pt idx="2">
                  <c:v>2.2000000000000002</c:v>
                </c:pt>
                <c:pt idx="3">
                  <c:v>0.5</c:v>
                </c:pt>
              </c:numCache>
            </c:numRef>
          </c:val>
          <c:smooth val="0"/>
          <c:extLst>
            <c:ext xmlns:c16="http://schemas.microsoft.com/office/drawing/2014/chart" uri="{C3380CC4-5D6E-409C-BE32-E72D297353CC}">
              <c16:uniqueId val="{00000001-2C64-BB4B-A428-23E5DA0FA5BF}"/>
            </c:ext>
          </c:extLst>
        </c:ser>
        <c:ser>
          <c:idx val="2"/>
          <c:order val="2"/>
          <c:tx>
            <c:strRef>
              <c:f>ورقة2!$A$4</c:f>
              <c:strCache>
                <c:ptCount val="1"/>
                <c:pt idx="0">
                  <c:v>&gt;65 yrs</c:v>
                </c:pt>
              </c:strCache>
            </c:strRef>
          </c:tx>
          <c:marker>
            <c:symbol val="none"/>
          </c:marker>
          <c:cat>
            <c:strRef>
              <c:f>ورقة2!$B$1:$E$1</c:f>
              <c:strCache>
                <c:ptCount val="4"/>
                <c:pt idx="0">
                  <c:v>Influenza IgM U/ ml</c:v>
                </c:pt>
                <c:pt idx="1">
                  <c:v>Parainfluenza IgM U/ ml</c:v>
                </c:pt>
                <c:pt idx="2">
                  <c:v>Rhinovirus IgM U/ ml</c:v>
                </c:pt>
                <c:pt idx="3">
                  <c:v>Control IgM U/ ml </c:v>
                </c:pt>
              </c:strCache>
            </c:strRef>
          </c:cat>
          <c:val>
            <c:numRef>
              <c:f>ورقة2!$B$4:$E$4</c:f>
              <c:numCache>
                <c:formatCode>General</c:formatCode>
                <c:ptCount val="4"/>
                <c:pt idx="0">
                  <c:v>4.2</c:v>
                </c:pt>
                <c:pt idx="1">
                  <c:v>3.3</c:v>
                </c:pt>
                <c:pt idx="2">
                  <c:v>2</c:v>
                </c:pt>
                <c:pt idx="3">
                  <c:v>0.4</c:v>
                </c:pt>
              </c:numCache>
            </c:numRef>
          </c:val>
          <c:smooth val="0"/>
          <c:extLst>
            <c:ext xmlns:c16="http://schemas.microsoft.com/office/drawing/2014/chart" uri="{C3380CC4-5D6E-409C-BE32-E72D297353CC}">
              <c16:uniqueId val="{00000002-2C64-BB4B-A428-23E5DA0FA5BF}"/>
            </c:ext>
          </c:extLst>
        </c:ser>
        <c:dLbls>
          <c:showLegendKey val="0"/>
          <c:showVal val="0"/>
          <c:showCatName val="0"/>
          <c:showSerName val="0"/>
          <c:showPercent val="0"/>
          <c:showBubbleSize val="0"/>
        </c:dLbls>
        <c:smooth val="0"/>
        <c:axId val="324618112"/>
        <c:axId val="325750784"/>
      </c:lineChart>
      <c:catAx>
        <c:axId val="324618112"/>
        <c:scaling>
          <c:orientation val="maxMin"/>
        </c:scaling>
        <c:delete val="0"/>
        <c:axPos val="b"/>
        <c:numFmt formatCode="General" sourceLinked="0"/>
        <c:majorTickMark val="none"/>
        <c:minorTickMark val="none"/>
        <c:tickLblPos val="nextTo"/>
        <c:crossAx val="325750784"/>
        <c:crosses val="autoZero"/>
        <c:auto val="1"/>
        <c:lblAlgn val="ctr"/>
        <c:lblOffset val="100"/>
        <c:noMultiLvlLbl val="0"/>
      </c:catAx>
      <c:valAx>
        <c:axId val="325750784"/>
        <c:scaling>
          <c:orientation val="minMax"/>
        </c:scaling>
        <c:delete val="0"/>
        <c:axPos val="r"/>
        <c:majorGridlines/>
        <c:title>
          <c:tx>
            <c:rich>
              <a:bodyPr/>
              <a:lstStyle/>
              <a:p>
                <a:pPr>
                  <a:defRPr/>
                </a:pPr>
                <a:r>
                  <a:rPr lang="en-US"/>
                  <a:t>IgM U/ ml level</a:t>
                </a:r>
                <a:endParaRPr lang="ar-SA"/>
              </a:p>
            </c:rich>
          </c:tx>
          <c:overlay val="0"/>
        </c:title>
        <c:numFmt formatCode="General" sourceLinked="1"/>
        <c:majorTickMark val="none"/>
        <c:minorTickMark val="none"/>
        <c:tickLblPos val="nextTo"/>
        <c:crossAx val="324618112"/>
        <c:crosses val="autoZero"/>
        <c:crossBetween val="between"/>
      </c:valAx>
    </c:plotArea>
    <c:legend>
      <c:legendPos val="r"/>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sz="1000" b="1">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lineChart>
        <c:grouping val="stacked"/>
        <c:varyColors val="0"/>
        <c:ser>
          <c:idx val="0"/>
          <c:order val="0"/>
          <c:tx>
            <c:strRef>
              <c:f>ورقة3!$C$1</c:f>
              <c:strCache>
                <c:ptCount val="1"/>
                <c:pt idx="0">
                  <c:v>IgM Levels (U/mL) Mean ± SD</c:v>
                </c:pt>
              </c:strCache>
            </c:strRef>
          </c:tx>
          <c:marker>
            <c:symbol val="none"/>
          </c:marker>
          <c:cat>
            <c:multiLvlStrRef>
              <c:f>ورقة3!$A$2:$B$9</c:f>
              <c:multiLvlStrCache>
                <c:ptCount val="8"/>
                <c:lvl>
                  <c:pt idx="0">
                    <c:v>Influenza</c:v>
                  </c:pt>
                  <c:pt idx="1">
                    <c:v>Parainfluenza</c:v>
                  </c:pt>
                  <c:pt idx="2">
                    <c:v>Rhinovirus</c:v>
                  </c:pt>
                  <c:pt idx="3">
                    <c:v>Control</c:v>
                  </c:pt>
                  <c:pt idx="4">
                    <c:v>Influenza</c:v>
                  </c:pt>
                  <c:pt idx="5">
                    <c:v>Parainfluenza</c:v>
                  </c:pt>
                  <c:pt idx="6">
                    <c:v>Rhinovirus</c:v>
                  </c:pt>
                  <c:pt idx="7">
                    <c:v>Control</c:v>
                  </c:pt>
                </c:lvl>
                <c:lvl>
                  <c:pt idx="0">
                    <c:v>Male</c:v>
                  </c:pt>
                  <c:pt idx="4">
                    <c:v>Female</c:v>
                  </c:pt>
                </c:lvl>
              </c:multiLvlStrCache>
            </c:multiLvlStrRef>
          </c:cat>
          <c:val>
            <c:numRef>
              <c:f>ورقة3!$C$2:$C$9</c:f>
              <c:numCache>
                <c:formatCode>General</c:formatCode>
                <c:ptCount val="8"/>
                <c:pt idx="0">
                  <c:v>3.5</c:v>
                </c:pt>
                <c:pt idx="1">
                  <c:v>2.2000000000000002</c:v>
                </c:pt>
                <c:pt idx="2">
                  <c:v>1.6</c:v>
                </c:pt>
                <c:pt idx="3">
                  <c:v>0.3</c:v>
                </c:pt>
                <c:pt idx="4">
                  <c:v>4</c:v>
                </c:pt>
                <c:pt idx="5">
                  <c:v>3.2</c:v>
                </c:pt>
                <c:pt idx="6">
                  <c:v>1.9</c:v>
                </c:pt>
                <c:pt idx="7">
                  <c:v>0.4</c:v>
                </c:pt>
              </c:numCache>
            </c:numRef>
          </c:val>
          <c:smooth val="0"/>
          <c:extLst>
            <c:ext xmlns:c16="http://schemas.microsoft.com/office/drawing/2014/chart" uri="{C3380CC4-5D6E-409C-BE32-E72D297353CC}">
              <c16:uniqueId val="{00000000-F8CE-D349-A3FB-5FDED96219D8}"/>
            </c:ext>
          </c:extLst>
        </c:ser>
        <c:dLbls>
          <c:showLegendKey val="0"/>
          <c:showVal val="0"/>
          <c:showCatName val="0"/>
          <c:showSerName val="0"/>
          <c:showPercent val="0"/>
          <c:showBubbleSize val="0"/>
        </c:dLbls>
        <c:smooth val="0"/>
        <c:axId val="328507392"/>
        <c:axId val="328508928"/>
      </c:lineChart>
      <c:catAx>
        <c:axId val="328507392"/>
        <c:scaling>
          <c:orientation val="maxMin"/>
        </c:scaling>
        <c:delete val="0"/>
        <c:axPos val="b"/>
        <c:numFmt formatCode="General" sourceLinked="0"/>
        <c:majorTickMark val="out"/>
        <c:minorTickMark val="none"/>
        <c:tickLblPos val="nextTo"/>
        <c:crossAx val="328508928"/>
        <c:crosses val="autoZero"/>
        <c:auto val="1"/>
        <c:lblAlgn val="ctr"/>
        <c:lblOffset val="100"/>
        <c:noMultiLvlLbl val="0"/>
      </c:catAx>
      <c:valAx>
        <c:axId val="328508928"/>
        <c:scaling>
          <c:orientation val="minMax"/>
        </c:scaling>
        <c:delete val="0"/>
        <c:axPos val="r"/>
        <c:majorGridlines/>
        <c:numFmt formatCode="General" sourceLinked="1"/>
        <c:majorTickMark val="out"/>
        <c:minorTickMark val="none"/>
        <c:tickLblPos val="nextTo"/>
        <c:crossAx val="328507392"/>
        <c:crosses val="autoZero"/>
        <c:crossBetween val="between"/>
      </c:valAx>
    </c:plotArea>
    <c:legend>
      <c:legendPos val="l"/>
      <c:overlay val="0"/>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b="1">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Serum Cytokine Levels (pg/mL) according age groups</a:t>
            </a:r>
            <a:endParaRPr lang="ar-SA"/>
          </a:p>
        </c:rich>
      </c:tx>
      <c:layout>
        <c:manualLayout>
          <c:xMode val="edge"/>
          <c:yMode val="edge"/>
          <c:x val="0.10246261972672718"/>
          <c:y val="0"/>
        </c:manualLayout>
      </c:layout>
      <c:overlay val="0"/>
    </c:title>
    <c:autoTitleDeleted val="0"/>
    <c:view3D>
      <c:rotX val="15"/>
      <c:rotY val="340"/>
      <c:rAngAx val="0"/>
    </c:view3D>
    <c:floor>
      <c:thickness val="0"/>
    </c:floor>
    <c:sideWall>
      <c:thickness val="0"/>
    </c:sideWall>
    <c:backWall>
      <c:thickness val="0"/>
    </c:backWall>
    <c:plotArea>
      <c:layout>
        <c:manualLayout>
          <c:layoutTarget val="inner"/>
          <c:xMode val="edge"/>
          <c:yMode val="edge"/>
          <c:x val="2.3770934629929769E-2"/>
          <c:y val="0.14084101189478976"/>
          <c:w val="0.65879860641406862"/>
          <c:h val="0.54933473552492329"/>
        </c:manualLayout>
      </c:layout>
      <c:bar3DChart>
        <c:barDir val="col"/>
        <c:grouping val="clustered"/>
        <c:varyColors val="0"/>
        <c:ser>
          <c:idx val="0"/>
          <c:order val="0"/>
          <c:tx>
            <c:strRef>
              <c:f>ورقة4!$C$1</c:f>
              <c:strCache>
                <c:ptCount val="1"/>
                <c:pt idx="0">
                  <c:v>Influenza (Mean±SD) Levels (pg/mL)</c:v>
                </c:pt>
              </c:strCache>
            </c:strRef>
          </c:tx>
          <c:invertIfNegative val="0"/>
          <c:cat>
            <c:multiLvlStrRef>
              <c:f>ورقة4!$A$2:$B$10</c:f>
              <c:multiLvlStrCache>
                <c:ptCount val="9"/>
                <c:lvl>
                  <c:pt idx="0">
                    <c:v>IL-6</c:v>
                  </c:pt>
                  <c:pt idx="1">
                    <c:v>TNF-α</c:v>
                  </c:pt>
                  <c:pt idx="2">
                    <c:v>IL-1β</c:v>
                  </c:pt>
                  <c:pt idx="3">
                    <c:v>IL-6</c:v>
                  </c:pt>
                  <c:pt idx="4">
                    <c:v>TNF-α</c:v>
                  </c:pt>
                  <c:pt idx="5">
                    <c:v>IL-1β</c:v>
                  </c:pt>
                  <c:pt idx="6">
                    <c:v>IL-6</c:v>
                  </c:pt>
                  <c:pt idx="7">
                    <c:v>TNF-α</c:v>
                  </c:pt>
                  <c:pt idx="8">
                    <c:v>IL-1β</c:v>
                  </c:pt>
                </c:lvl>
                <c:lvl>
                  <c:pt idx="0">
                    <c:v>&lt;18 </c:v>
                  </c:pt>
                  <c:pt idx="3">
                    <c:v>18-65 </c:v>
                  </c:pt>
                  <c:pt idx="6">
                    <c:v>&gt;65 </c:v>
                  </c:pt>
                </c:lvl>
              </c:multiLvlStrCache>
            </c:multiLvlStrRef>
          </c:cat>
          <c:val>
            <c:numRef>
              <c:f>ورقة4!$C$2:$C$10</c:f>
              <c:numCache>
                <c:formatCode>General</c:formatCode>
                <c:ptCount val="9"/>
                <c:pt idx="0">
                  <c:v>88</c:v>
                </c:pt>
                <c:pt idx="1">
                  <c:v>48</c:v>
                </c:pt>
                <c:pt idx="2">
                  <c:v>28</c:v>
                </c:pt>
                <c:pt idx="3">
                  <c:v>130</c:v>
                </c:pt>
                <c:pt idx="4">
                  <c:v>65</c:v>
                </c:pt>
                <c:pt idx="5">
                  <c:v>39</c:v>
                </c:pt>
                <c:pt idx="6">
                  <c:v>185</c:v>
                </c:pt>
                <c:pt idx="7">
                  <c:v>82</c:v>
                </c:pt>
                <c:pt idx="8">
                  <c:v>55</c:v>
                </c:pt>
              </c:numCache>
            </c:numRef>
          </c:val>
          <c:extLst>
            <c:ext xmlns:c16="http://schemas.microsoft.com/office/drawing/2014/chart" uri="{C3380CC4-5D6E-409C-BE32-E72D297353CC}">
              <c16:uniqueId val="{00000000-72AA-7543-989C-CE48C6FAF710}"/>
            </c:ext>
          </c:extLst>
        </c:ser>
        <c:ser>
          <c:idx val="1"/>
          <c:order val="1"/>
          <c:tx>
            <c:strRef>
              <c:f>ورقة4!$D$1</c:f>
              <c:strCache>
                <c:ptCount val="1"/>
                <c:pt idx="0">
                  <c:v>Parainfluenza (Mean±SD) Levels (pg/mL)</c:v>
                </c:pt>
              </c:strCache>
            </c:strRef>
          </c:tx>
          <c:invertIfNegative val="0"/>
          <c:cat>
            <c:multiLvlStrRef>
              <c:f>ورقة4!$A$2:$B$10</c:f>
              <c:multiLvlStrCache>
                <c:ptCount val="9"/>
                <c:lvl>
                  <c:pt idx="0">
                    <c:v>IL-6</c:v>
                  </c:pt>
                  <c:pt idx="1">
                    <c:v>TNF-α</c:v>
                  </c:pt>
                  <c:pt idx="2">
                    <c:v>IL-1β</c:v>
                  </c:pt>
                  <c:pt idx="3">
                    <c:v>IL-6</c:v>
                  </c:pt>
                  <c:pt idx="4">
                    <c:v>TNF-α</c:v>
                  </c:pt>
                  <c:pt idx="5">
                    <c:v>IL-1β</c:v>
                  </c:pt>
                  <c:pt idx="6">
                    <c:v>IL-6</c:v>
                  </c:pt>
                  <c:pt idx="7">
                    <c:v>TNF-α</c:v>
                  </c:pt>
                  <c:pt idx="8">
                    <c:v>IL-1β</c:v>
                  </c:pt>
                </c:lvl>
                <c:lvl>
                  <c:pt idx="0">
                    <c:v>&lt;18 </c:v>
                  </c:pt>
                  <c:pt idx="3">
                    <c:v>18-65 </c:v>
                  </c:pt>
                  <c:pt idx="6">
                    <c:v>&gt;65 </c:v>
                  </c:pt>
                </c:lvl>
              </c:multiLvlStrCache>
            </c:multiLvlStrRef>
          </c:cat>
          <c:val>
            <c:numRef>
              <c:f>ورقة4!$D$2:$D$10</c:f>
              <c:numCache>
                <c:formatCode>General</c:formatCode>
                <c:ptCount val="9"/>
                <c:pt idx="0">
                  <c:v>65</c:v>
                </c:pt>
                <c:pt idx="1">
                  <c:v>40</c:v>
                </c:pt>
                <c:pt idx="2">
                  <c:v>19</c:v>
                </c:pt>
                <c:pt idx="3">
                  <c:v>87</c:v>
                </c:pt>
                <c:pt idx="4">
                  <c:v>48</c:v>
                </c:pt>
                <c:pt idx="5">
                  <c:v>29</c:v>
                </c:pt>
                <c:pt idx="6">
                  <c:v>112</c:v>
                </c:pt>
                <c:pt idx="7">
                  <c:v>58</c:v>
                </c:pt>
                <c:pt idx="8">
                  <c:v>39</c:v>
                </c:pt>
              </c:numCache>
            </c:numRef>
          </c:val>
          <c:extLst>
            <c:ext xmlns:c16="http://schemas.microsoft.com/office/drawing/2014/chart" uri="{C3380CC4-5D6E-409C-BE32-E72D297353CC}">
              <c16:uniqueId val="{00000001-72AA-7543-989C-CE48C6FAF710}"/>
            </c:ext>
          </c:extLst>
        </c:ser>
        <c:ser>
          <c:idx val="2"/>
          <c:order val="2"/>
          <c:tx>
            <c:strRef>
              <c:f>ورقة4!$E$1</c:f>
              <c:strCache>
                <c:ptCount val="1"/>
                <c:pt idx="0">
                  <c:v>Rhinovirus (Mean±SD) Levels (pg/mL)</c:v>
                </c:pt>
              </c:strCache>
            </c:strRef>
          </c:tx>
          <c:invertIfNegative val="0"/>
          <c:cat>
            <c:multiLvlStrRef>
              <c:f>ورقة4!$A$2:$B$10</c:f>
              <c:multiLvlStrCache>
                <c:ptCount val="9"/>
                <c:lvl>
                  <c:pt idx="0">
                    <c:v>IL-6</c:v>
                  </c:pt>
                  <c:pt idx="1">
                    <c:v>TNF-α</c:v>
                  </c:pt>
                  <c:pt idx="2">
                    <c:v>IL-1β</c:v>
                  </c:pt>
                  <c:pt idx="3">
                    <c:v>IL-6</c:v>
                  </c:pt>
                  <c:pt idx="4">
                    <c:v>TNF-α</c:v>
                  </c:pt>
                  <c:pt idx="5">
                    <c:v>IL-1β</c:v>
                  </c:pt>
                  <c:pt idx="6">
                    <c:v>IL-6</c:v>
                  </c:pt>
                  <c:pt idx="7">
                    <c:v>TNF-α</c:v>
                  </c:pt>
                  <c:pt idx="8">
                    <c:v>IL-1β</c:v>
                  </c:pt>
                </c:lvl>
                <c:lvl>
                  <c:pt idx="0">
                    <c:v>&lt;18 </c:v>
                  </c:pt>
                  <c:pt idx="3">
                    <c:v>18-65 </c:v>
                  </c:pt>
                  <c:pt idx="6">
                    <c:v>&gt;65 </c:v>
                  </c:pt>
                </c:lvl>
              </c:multiLvlStrCache>
            </c:multiLvlStrRef>
          </c:cat>
          <c:val>
            <c:numRef>
              <c:f>ورقة4!$E$2:$E$10</c:f>
              <c:numCache>
                <c:formatCode>General</c:formatCode>
                <c:ptCount val="9"/>
                <c:pt idx="0">
                  <c:v>38</c:v>
                </c:pt>
                <c:pt idx="1">
                  <c:v>25</c:v>
                </c:pt>
                <c:pt idx="2">
                  <c:v>14</c:v>
                </c:pt>
                <c:pt idx="3">
                  <c:v>42</c:v>
                </c:pt>
                <c:pt idx="4">
                  <c:v>28</c:v>
                </c:pt>
                <c:pt idx="5">
                  <c:v>17</c:v>
                </c:pt>
                <c:pt idx="6">
                  <c:v>52</c:v>
                </c:pt>
                <c:pt idx="7">
                  <c:v>33</c:v>
                </c:pt>
                <c:pt idx="8">
                  <c:v>22</c:v>
                </c:pt>
              </c:numCache>
            </c:numRef>
          </c:val>
          <c:extLst>
            <c:ext xmlns:c16="http://schemas.microsoft.com/office/drawing/2014/chart" uri="{C3380CC4-5D6E-409C-BE32-E72D297353CC}">
              <c16:uniqueId val="{00000002-72AA-7543-989C-CE48C6FAF710}"/>
            </c:ext>
          </c:extLst>
        </c:ser>
        <c:ser>
          <c:idx val="3"/>
          <c:order val="3"/>
          <c:tx>
            <c:strRef>
              <c:f>ورقة4!$F$1</c:f>
              <c:strCache>
                <c:ptCount val="1"/>
                <c:pt idx="0">
                  <c:v>Control (Mean±SD) Levels (pg/mL)</c:v>
                </c:pt>
              </c:strCache>
            </c:strRef>
          </c:tx>
          <c:invertIfNegative val="0"/>
          <c:cat>
            <c:multiLvlStrRef>
              <c:f>ورقة4!$A$2:$B$10</c:f>
              <c:multiLvlStrCache>
                <c:ptCount val="9"/>
                <c:lvl>
                  <c:pt idx="0">
                    <c:v>IL-6</c:v>
                  </c:pt>
                  <c:pt idx="1">
                    <c:v>TNF-α</c:v>
                  </c:pt>
                  <c:pt idx="2">
                    <c:v>IL-1β</c:v>
                  </c:pt>
                  <c:pt idx="3">
                    <c:v>IL-6</c:v>
                  </c:pt>
                  <c:pt idx="4">
                    <c:v>TNF-α</c:v>
                  </c:pt>
                  <c:pt idx="5">
                    <c:v>IL-1β</c:v>
                  </c:pt>
                  <c:pt idx="6">
                    <c:v>IL-6</c:v>
                  </c:pt>
                  <c:pt idx="7">
                    <c:v>TNF-α</c:v>
                  </c:pt>
                  <c:pt idx="8">
                    <c:v>IL-1β</c:v>
                  </c:pt>
                </c:lvl>
                <c:lvl>
                  <c:pt idx="0">
                    <c:v>&lt;18 </c:v>
                  </c:pt>
                  <c:pt idx="3">
                    <c:v>18-65 </c:v>
                  </c:pt>
                  <c:pt idx="6">
                    <c:v>&gt;65 </c:v>
                  </c:pt>
                </c:lvl>
              </c:multiLvlStrCache>
            </c:multiLvlStrRef>
          </c:cat>
          <c:val>
            <c:numRef>
              <c:f>ورقة4!$F$2:$F$10</c:f>
              <c:numCache>
                <c:formatCode>General</c:formatCode>
                <c:ptCount val="9"/>
                <c:pt idx="0">
                  <c:v>11</c:v>
                </c:pt>
                <c:pt idx="1">
                  <c:v>7</c:v>
                </c:pt>
                <c:pt idx="2">
                  <c:v>6</c:v>
                </c:pt>
                <c:pt idx="3">
                  <c:v>10</c:v>
                </c:pt>
                <c:pt idx="4">
                  <c:v>9</c:v>
                </c:pt>
                <c:pt idx="5">
                  <c:v>7</c:v>
                </c:pt>
                <c:pt idx="6">
                  <c:v>12</c:v>
                </c:pt>
                <c:pt idx="7">
                  <c:v>10</c:v>
                </c:pt>
                <c:pt idx="8">
                  <c:v>9</c:v>
                </c:pt>
              </c:numCache>
            </c:numRef>
          </c:val>
          <c:extLst>
            <c:ext xmlns:c16="http://schemas.microsoft.com/office/drawing/2014/chart" uri="{C3380CC4-5D6E-409C-BE32-E72D297353CC}">
              <c16:uniqueId val="{00000003-72AA-7543-989C-CE48C6FAF710}"/>
            </c:ext>
          </c:extLst>
        </c:ser>
        <c:dLbls>
          <c:showLegendKey val="0"/>
          <c:showVal val="0"/>
          <c:showCatName val="0"/>
          <c:showSerName val="0"/>
          <c:showPercent val="0"/>
          <c:showBubbleSize val="0"/>
        </c:dLbls>
        <c:gapWidth val="150"/>
        <c:shape val="cylinder"/>
        <c:axId val="329755648"/>
        <c:axId val="332281728"/>
        <c:axId val="0"/>
      </c:bar3DChart>
      <c:catAx>
        <c:axId val="329755648"/>
        <c:scaling>
          <c:orientation val="maxMin"/>
        </c:scaling>
        <c:delete val="0"/>
        <c:axPos val="b"/>
        <c:numFmt formatCode="General" sourceLinked="0"/>
        <c:majorTickMark val="none"/>
        <c:minorTickMark val="none"/>
        <c:tickLblPos val="nextTo"/>
        <c:spPr>
          <a:noFill/>
          <a:ln w="9525" cap="flat" cmpd="sng" algn="ctr">
            <a:solidFill>
              <a:schemeClr val="dk1">
                <a:shade val="95000"/>
                <a:satMod val="105000"/>
              </a:schemeClr>
            </a:solidFill>
            <a:prstDash val="solid"/>
          </a:ln>
          <a:effectLst/>
        </c:spPr>
        <c:txPr>
          <a:bodyPr/>
          <a:lstStyle/>
          <a:p>
            <a:pPr>
              <a:defRPr b="1">
                <a:solidFill>
                  <a:schemeClr val="tx1"/>
                </a:solidFill>
                <a:latin typeface="+mn-lt"/>
                <a:ea typeface="+mn-ea"/>
                <a:cs typeface="+mn-cs"/>
              </a:defRPr>
            </a:pPr>
            <a:endParaRPr lang="en-US"/>
          </a:p>
        </c:txPr>
        <c:crossAx val="332281728"/>
        <c:crosses val="autoZero"/>
        <c:auto val="1"/>
        <c:lblAlgn val="ctr"/>
        <c:lblOffset val="100"/>
        <c:noMultiLvlLbl val="0"/>
      </c:catAx>
      <c:valAx>
        <c:axId val="332281728"/>
        <c:scaling>
          <c:orientation val="minMax"/>
        </c:scaling>
        <c:delete val="0"/>
        <c:axPos val="r"/>
        <c:majorGridlines/>
        <c:numFmt formatCode="General" sourceLinked="1"/>
        <c:majorTickMark val="none"/>
        <c:minorTickMark val="none"/>
        <c:tickLblPos val="nextTo"/>
        <c:txPr>
          <a:bodyPr/>
          <a:lstStyle/>
          <a:p>
            <a:pPr>
              <a:defRPr b="1"/>
            </a:pPr>
            <a:endParaRPr lang="en-US"/>
          </a:p>
        </c:txPr>
        <c:crossAx val="329755648"/>
        <c:crosses val="autoZero"/>
        <c:crossBetween val="between"/>
      </c:valAx>
    </c:plotArea>
    <c:legend>
      <c:legendPos val="r"/>
      <c:layout>
        <c:manualLayout>
          <c:xMode val="edge"/>
          <c:yMode val="edge"/>
          <c:x val="0.75292248922693417"/>
          <c:y val="0.2061533797636998"/>
          <c:w val="0.23411154642946774"/>
          <c:h val="0.58627480075628846"/>
        </c:manualLayout>
      </c:layout>
      <c:overlay val="0"/>
      <c:txPr>
        <a:bodyPr/>
        <a:lstStyle/>
        <a:p>
          <a:pPr>
            <a:defRPr b="1"/>
          </a:pPr>
          <a:endParaRPr lang="en-US"/>
        </a:p>
      </c:txPr>
    </c:legend>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manualLayout>
          <c:layoutTarget val="inner"/>
          <c:xMode val="edge"/>
          <c:yMode val="edge"/>
          <c:x val="1.8698867460844506E-2"/>
          <c:y val="0.13055446194225723"/>
          <c:w val="0.9023499772274477"/>
          <c:h val="0.4818299570138872"/>
        </c:manualLayout>
      </c:layout>
      <c:bar3DChart>
        <c:barDir val="col"/>
        <c:grouping val="clustered"/>
        <c:varyColors val="0"/>
        <c:ser>
          <c:idx val="0"/>
          <c:order val="0"/>
          <c:tx>
            <c:strRef>
              <c:f>ورقة5!$C$1</c:f>
              <c:strCache>
                <c:ptCount val="1"/>
                <c:pt idx="0">
                  <c:v>IL-6 level pg/ ml</c:v>
                </c:pt>
              </c:strCache>
            </c:strRef>
          </c:tx>
          <c:invertIfNegative val="0"/>
          <c:cat>
            <c:multiLvlStrRef>
              <c:f>ورقة5!$A$2:$B$9</c:f>
              <c:multiLvlStrCache>
                <c:ptCount val="8"/>
                <c:lvl>
                  <c:pt idx="0">
                    <c:v>Female</c:v>
                  </c:pt>
                  <c:pt idx="1">
                    <c:v>Male</c:v>
                  </c:pt>
                  <c:pt idx="2">
                    <c:v>Female</c:v>
                  </c:pt>
                  <c:pt idx="3">
                    <c:v>Male</c:v>
                  </c:pt>
                  <c:pt idx="4">
                    <c:v>Female</c:v>
                  </c:pt>
                  <c:pt idx="5">
                    <c:v>Male</c:v>
                  </c:pt>
                  <c:pt idx="6">
                    <c:v>Female</c:v>
                  </c:pt>
                  <c:pt idx="7">
                    <c:v>Male</c:v>
                  </c:pt>
                </c:lvl>
                <c:lvl>
                  <c:pt idx="0">
                    <c:v>Influenza</c:v>
                  </c:pt>
                  <c:pt idx="2">
                    <c:v>Parainfluenza</c:v>
                  </c:pt>
                  <c:pt idx="4">
                    <c:v>Rhinovirus</c:v>
                  </c:pt>
                  <c:pt idx="6">
                    <c:v>Control</c:v>
                  </c:pt>
                </c:lvl>
              </c:multiLvlStrCache>
            </c:multiLvlStrRef>
          </c:cat>
          <c:val>
            <c:numRef>
              <c:f>ورقة5!$C$2:$C$9</c:f>
              <c:numCache>
                <c:formatCode>General</c:formatCode>
                <c:ptCount val="8"/>
                <c:pt idx="0">
                  <c:v>150</c:v>
                </c:pt>
                <c:pt idx="1">
                  <c:v>130</c:v>
                </c:pt>
                <c:pt idx="2">
                  <c:v>100</c:v>
                </c:pt>
                <c:pt idx="3">
                  <c:v>85</c:v>
                </c:pt>
                <c:pt idx="4">
                  <c:v>50</c:v>
                </c:pt>
                <c:pt idx="5">
                  <c:v>45</c:v>
                </c:pt>
                <c:pt idx="6">
                  <c:v>12</c:v>
                </c:pt>
                <c:pt idx="7">
                  <c:v>10</c:v>
                </c:pt>
              </c:numCache>
            </c:numRef>
          </c:val>
          <c:extLst>
            <c:ext xmlns:c16="http://schemas.microsoft.com/office/drawing/2014/chart" uri="{C3380CC4-5D6E-409C-BE32-E72D297353CC}">
              <c16:uniqueId val="{00000000-C915-6140-88C6-718A59FC7521}"/>
            </c:ext>
          </c:extLst>
        </c:ser>
        <c:ser>
          <c:idx val="1"/>
          <c:order val="1"/>
          <c:tx>
            <c:strRef>
              <c:f>ورقة5!$D$1</c:f>
              <c:strCache>
                <c:ptCount val="1"/>
                <c:pt idx="0">
                  <c:v>TNF-α level pg/ ml</c:v>
                </c:pt>
              </c:strCache>
            </c:strRef>
          </c:tx>
          <c:invertIfNegative val="0"/>
          <c:cat>
            <c:multiLvlStrRef>
              <c:f>ورقة5!$A$2:$B$9</c:f>
              <c:multiLvlStrCache>
                <c:ptCount val="8"/>
                <c:lvl>
                  <c:pt idx="0">
                    <c:v>Female</c:v>
                  </c:pt>
                  <c:pt idx="1">
                    <c:v>Male</c:v>
                  </c:pt>
                  <c:pt idx="2">
                    <c:v>Female</c:v>
                  </c:pt>
                  <c:pt idx="3">
                    <c:v>Male</c:v>
                  </c:pt>
                  <c:pt idx="4">
                    <c:v>Female</c:v>
                  </c:pt>
                  <c:pt idx="5">
                    <c:v>Male</c:v>
                  </c:pt>
                  <c:pt idx="6">
                    <c:v>Female</c:v>
                  </c:pt>
                  <c:pt idx="7">
                    <c:v>Male</c:v>
                  </c:pt>
                </c:lvl>
                <c:lvl>
                  <c:pt idx="0">
                    <c:v>Influenza</c:v>
                  </c:pt>
                  <c:pt idx="2">
                    <c:v>Parainfluenza</c:v>
                  </c:pt>
                  <c:pt idx="4">
                    <c:v>Rhinovirus</c:v>
                  </c:pt>
                  <c:pt idx="6">
                    <c:v>Control</c:v>
                  </c:pt>
                </c:lvl>
              </c:multiLvlStrCache>
            </c:multiLvlStrRef>
          </c:cat>
          <c:val>
            <c:numRef>
              <c:f>ورقة5!$D$2:$D$9</c:f>
              <c:numCache>
                <c:formatCode>General</c:formatCode>
                <c:ptCount val="8"/>
                <c:pt idx="0">
                  <c:v>70</c:v>
                </c:pt>
                <c:pt idx="1">
                  <c:v>60</c:v>
                </c:pt>
                <c:pt idx="2">
                  <c:v>55</c:v>
                </c:pt>
                <c:pt idx="3">
                  <c:v>45</c:v>
                </c:pt>
                <c:pt idx="4">
                  <c:v>30</c:v>
                </c:pt>
                <c:pt idx="5">
                  <c:v>25</c:v>
                </c:pt>
                <c:pt idx="6">
                  <c:v>8</c:v>
                </c:pt>
                <c:pt idx="7">
                  <c:v>7</c:v>
                </c:pt>
              </c:numCache>
            </c:numRef>
          </c:val>
          <c:extLst>
            <c:ext xmlns:c16="http://schemas.microsoft.com/office/drawing/2014/chart" uri="{C3380CC4-5D6E-409C-BE32-E72D297353CC}">
              <c16:uniqueId val="{00000001-C915-6140-88C6-718A59FC7521}"/>
            </c:ext>
          </c:extLst>
        </c:ser>
        <c:ser>
          <c:idx val="2"/>
          <c:order val="2"/>
          <c:tx>
            <c:strRef>
              <c:f>ورقة5!$E$1</c:f>
              <c:strCache>
                <c:ptCount val="1"/>
                <c:pt idx="0">
                  <c:v>IL-1β level pg/ ml</c:v>
                </c:pt>
              </c:strCache>
            </c:strRef>
          </c:tx>
          <c:invertIfNegative val="0"/>
          <c:cat>
            <c:multiLvlStrRef>
              <c:f>ورقة5!$A$2:$B$9</c:f>
              <c:multiLvlStrCache>
                <c:ptCount val="8"/>
                <c:lvl>
                  <c:pt idx="0">
                    <c:v>Female</c:v>
                  </c:pt>
                  <c:pt idx="1">
                    <c:v>Male</c:v>
                  </c:pt>
                  <c:pt idx="2">
                    <c:v>Female</c:v>
                  </c:pt>
                  <c:pt idx="3">
                    <c:v>Male</c:v>
                  </c:pt>
                  <c:pt idx="4">
                    <c:v>Female</c:v>
                  </c:pt>
                  <c:pt idx="5">
                    <c:v>Male</c:v>
                  </c:pt>
                  <c:pt idx="6">
                    <c:v>Female</c:v>
                  </c:pt>
                  <c:pt idx="7">
                    <c:v>Male</c:v>
                  </c:pt>
                </c:lvl>
                <c:lvl>
                  <c:pt idx="0">
                    <c:v>Influenza</c:v>
                  </c:pt>
                  <c:pt idx="2">
                    <c:v>Parainfluenza</c:v>
                  </c:pt>
                  <c:pt idx="4">
                    <c:v>Rhinovirus</c:v>
                  </c:pt>
                  <c:pt idx="6">
                    <c:v>Control</c:v>
                  </c:pt>
                </c:lvl>
              </c:multiLvlStrCache>
            </c:multiLvlStrRef>
          </c:cat>
          <c:val>
            <c:numRef>
              <c:f>ورقة5!$E$2:$E$9</c:f>
              <c:numCache>
                <c:formatCode>General</c:formatCode>
                <c:ptCount val="8"/>
                <c:pt idx="0">
                  <c:v>45</c:v>
                </c:pt>
                <c:pt idx="1">
                  <c:v>38</c:v>
                </c:pt>
                <c:pt idx="2">
                  <c:v>30</c:v>
                </c:pt>
                <c:pt idx="3">
                  <c:v>25</c:v>
                </c:pt>
                <c:pt idx="4">
                  <c:v>18</c:v>
                </c:pt>
                <c:pt idx="5">
                  <c:v>15</c:v>
                </c:pt>
                <c:pt idx="6">
                  <c:v>7</c:v>
                </c:pt>
                <c:pt idx="7">
                  <c:v>6</c:v>
                </c:pt>
              </c:numCache>
            </c:numRef>
          </c:val>
          <c:extLst>
            <c:ext xmlns:c16="http://schemas.microsoft.com/office/drawing/2014/chart" uri="{C3380CC4-5D6E-409C-BE32-E72D297353CC}">
              <c16:uniqueId val="{00000002-C915-6140-88C6-718A59FC7521}"/>
            </c:ext>
          </c:extLst>
        </c:ser>
        <c:dLbls>
          <c:showLegendKey val="0"/>
          <c:showVal val="0"/>
          <c:showCatName val="0"/>
          <c:showSerName val="0"/>
          <c:showPercent val="0"/>
          <c:showBubbleSize val="0"/>
        </c:dLbls>
        <c:gapWidth val="75"/>
        <c:shape val="cylinder"/>
        <c:axId val="333830016"/>
        <c:axId val="334042240"/>
        <c:axId val="0"/>
      </c:bar3DChart>
      <c:catAx>
        <c:axId val="333830016"/>
        <c:scaling>
          <c:orientation val="maxMin"/>
        </c:scaling>
        <c:delete val="0"/>
        <c:axPos val="b"/>
        <c:numFmt formatCode="General" sourceLinked="0"/>
        <c:majorTickMark val="none"/>
        <c:minorTickMark val="none"/>
        <c:tickLblPos val="nextTo"/>
        <c:crossAx val="334042240"/>
        <c:crosses val="autoZero"/>
        <c:auto val="1"/>
        <c:lblAlgn val="ctr"/>
        <c:lblOffset val="100"/>
        <c:noMultiLvlLbl val="0"/>
      </c:catAx>
      <c:valAx>
        <c:axId val="334042240"/>
        <c:scaling>
          <c:orientation val="minMax"/>
        </c:scaling>
        <c:delete val="0"/>
        <c:axPos val="r"/>
        <c:majorGridlines/>
        <c:numFmt formatCode="General" sourceLinked="1"/>
        <c:majorTickMark val="none"/>
        <c:minorTickMark val="none"/>
        <c:tickLblPos val="nextTo"/>
        <c:spPr>
          <a:ln w="9525">
            <a:noFill/>
          </a:ln>
        </c:spPr>
        <c:crossAx val="333830016"/>
        <c:crosses val="autoZero"/>
        <c:crossBetween val="between"/>
      </c:valAx>
      <c:spPr>
        <a:solidFill>
          <a:schemeClr val="lt1"/>
        </a:solidFill>
        <a:ln w="25400" cap="flat" cmpd="sng" algn="ctr">
          <a:solidFill>
            <a:schemeClr val="dk1"/>
          </a:solidFill>
          <a:prstDash val="solid"/>
        </a:ln>
        <a:effectLst/>
      </c:spPr>
    </c:plotArea>
    <c:legend>
      <c:legendPos val="b"/>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b="1">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47D45-7997-4149-811A-B2613D07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TEMPLATES-OTH (1)</Template>
  <TotalTime>26</TotalTime>
  <Pages>11</Pages>
  <Words>3881</Words>
  <Characters>20806</Characters>
  <Application>Microsoft Office Word</Application>
  <DocSecurity>0</DocSecurity>
  <Lines>990</Lines>
  <Paragraphs>411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24276</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Al-Noor Center</dc:creator>
  <cp:lastModifiedBy>Dr.wijdan Rajh</cp:lastModifiedBy>
  <cp:revision>19</cp:revision>
  <cp:lastPrinted>2025-08-20T16:30:00Z</cp:lastPrinted>
  <dcterms:created xsi:type="dcterms:W3CDTF">2025-08-22T14:59:00Z</dcterms:created>
  <dcterms:modified xsi:type="dcterms:W3CDTF">2025-09-13T21:47:00Z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06b969c8-7d8d-4781-93cc-288822016c5a</vt:lpwstr>
  </property>
</Properties>
</file>